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74A6DF50"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 xml:space="preserve">FORNITURA </w:t>
            </w:r>
            <w:r w:rsidR="00542B5E">
              <w:rPr>
                <w:rFonts w:cstheme="minorHAnsi"/>
                <w:b/>
              </w:rPr>
              <w:t>di nuovi dispositivi necessari per rinnovare la didattica laboratoriale nell’ambito delle energie rinnovabili (fotovoltaico)</w:t>
            </w:r>
            <w:bookmarkStart w:id="1" w:name="_Hlk113989825"/>
            <w:bookmarkStart w:id="2" w:name="_Hlk88492261"/>
            <w:r w:rsidR="00542B5E">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28C9E8DE"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542B5E">
              <w:rPr>
                <w:rFonts w:cstheme="minorHAnsi"/>
                <w:b/>
                <w:bCs/>
              </w:rPr>
              <w:t xml:space="preserve"> 9970079178</w:t>
            </w:r>
            <w:r w:rsidRPr="00921D99">
              <w:rPr>
                <w:rFonts w:cstheme="minorHAnsi"/>
                <w:b/>
                <w:bCs/>
              </w:rPr>
              <w:t xml:space="preserve"> </w:t>
            </w:r>
          </w:p>
          <w:p w14:paraId="4453207A" w14:textId="6D80AEE1" w:rsidR="00921D99" w:rsidRPr="00921D99" w:rsidRDefault="00921D99" w:rsidP="00921D99">
            <w:pPr>
              <w:spacing w:before="120" w:after="120" w:line="240" w:lineRule="auto"/>
              <w:jc w:val="center"/>
              <w:rPr>
                <w:rFonts w:cstheme="minorHAnsi"/>
                <w:b/>
              </w:rPr>
            </w:pPr>
            <w:r w:rsidRPr="00921D99">
              <w:rPr>
                <w:rFonts w:cstheme="minorHAnsi"/>
                <w:b/>
                <w:bCs/>
              </w:rPr>
              <w:t>CUP:</w:t>
            </w:r>
            <w:r w:rsidR="00542B5E">
              <w:rPr>
                <w:rFonts w:cstheme="minorHAnsi"/>
                <w:b/>
                <w:bCs/>
              </w:rPr>
              <w:t xml:space="preserve"> G44D2300890006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bookmarkStart w:id="3" w:name="_GoBack"/>
      <w:bookmarkEnd w:id="3"/>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9B7DD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4" w:name="_Hlk127285242"/>
      <w:bookmarkStart w:id="5" w:name="_Hlk114659843"/>
      <w:r w:rsidR="00F673C4">
        <w:rPr>
          <w:rFonts w:cstheme="minorHAnsi"/>
          <w:bCs/>
          <w:lang w:bidi="it-IT"/>
        </w:rPr>
        <w:t xml:space="preserve"> di dispositivi digitali da utilizzare nei laboratori di fisica e chimica</w:t>
      </w:r>
      <w:bookmarkEnd w:id="4"/>
      <w:bookmarkEnd w:id="5"/>
    </w:p>
    <w:p w14:paraId="54E3A389" w14:textId="545FAE69"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F673C4">
        <w:rPr>
          <w:rFonts w:cstheme="minorHAnsi"/>
          <w:b/>
          <w:lang w:bidi="it-IT"/>
        </w:rPr>
        <w:t xml:space="preserve"> </w:t>
      </w:r>
      <w:r w:rsidR="00542B5E">
        <w:rPr>
          <w:rFonts w:cstheme="minorHAnsi"/>
          <w:b/>
          <w:bCs/>
        </w:rPr>
        <w:t>9970079178</w:t>
      </w:r>
    </w:p>
    <w:p w14:paraId="3C05AD11" w14:textId="3941787C"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F673C4" w:rsidRPr="00F673C4">
        <w:rPr>
          <w:rFonts w:cstheme="minorHAnsi"/>
          <w:sz w:val="24"/>
          <w:lang w:val="en-US"/>
        </w:rPr>
        <w:t xml:space="preserve"> </w:t>
      </w:r>
      <w:r w:rsidR="00542B5E">
        <w:rPr>
          <w:rFonts w:cstheme="minorHAnsi"/>
          <w:b/>
          <w:bCs/>
        </w:rPr>
        <w:t>G44D2300890006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195F7783" w14:textId="6F272F08" w:rsidR="00921D99" w:rsidRPr="00921D99" w:rsidRDefault="00921D99" w:rsidP="00921D99">
      <w:pPr>
        <w:spacing w:before="120" w:after="120" w:line="276" w:lineRule="auto"/>
        <w:ind w:right="49"/>
        <w:jc w:val="both"/>
        <w:rPr>
          <w:rFonts w:cstheme="minorHAnsi"/>
        </w:rPr>
      </w:pPr>
      <w:r w:rsidRPr="00921D99">
        <w:rPr>
          <w:rFonts w:cstheme="minorHAnsi"/>
          <w:b/>
          <w:bCs/>
        </w:rPr>
        <w:t>L’ISTITUTO SCOLASTICO</w:t>
      </w:r>
      <w:r w:rsidR="00F673C4">
        <w:rPr>
          <w:rFonts w:cstheme="minorHAnsi"/>
          <w:b/>
          <w:bCs/>
        </w:rPr>
        <w:t xml:space="preserve"> “I.I.S. J.C. Maxwell”</w:t>
      </w:r>
      <w:r w:rsidRPr="00921D99">
        <w:rPr>
          <w:rFonts w:cstheme="minorHAnsi"/>
          <w:b/>
          <w:bCs/>
        </w:rPr>
        <w:t>,</w:t>
      </w:r>
      <w:r w:rsidRPr="00921D99">
        <w:rPr>
          <w:rFonts w:cstheme="minorHAnsi"/>
        </w:rPr>
        <w:t xml:space="preserve"> con sede in</w:t>
      </w:r>
      <w:r w:rsidR="00F673C4">
        <w:rPr>
          <w:rFonts w:cstheme="minorHAnsi"/>
        </w:rPr>
        <w:t xml:space="preserve"> Milano</w:t>
      </w:r>
      <w:r w:rsidRPr="00921D99">
        <w:rPr>
          <w:rFonts w:cstheme="minorHAnsi"/>
        </w:rPr>
        <w:t>, alla via</w:t>
      </w:r>
      <w:r w:rsidR="00F673C4">
        <w:rPr>
          <w:rFonts w:cstheme="minorHAnsi"/>
        </w:rPr>
        <w:t xml:space="preserve"> Don G. Calabria 2</w:t>
      </w:r>
      <w:r w:rsidRPr="00921D99">
        <w:rPr>
          <w:rFonts w:cstheme="minorHAnsi"/>
        </w:rPr>
        <w:t>, C.F. e P. IVA n.</w:t>
      </w:r>
      <w:r w:rsidR="00F673C4">
        <w:rPr>
          <w:rFonts w:cstheme="minorHAnsi"/>
        </w:rPr>
        <w:t xml:space="preserve"> </w:t>
      </w:r>
      <w:r w:rsidR="00F673C4" w:rsidRPr="00F673C4">
        <w:rPr>
          <w:rFonts w:cstheme="minorHAnsi"/>
        </w:rPr>
        <w:t>80124170152</w:t>
      </w:r>
      <w:r w:rsidRPr="00921D99">
        <w:rPr>
          <w:rFonts w:cstheme="minorHAnsi"/>
        </w:rPr>
        <w:t>, in persona del</w:t>
      </w:r>
      <w:r w:rsidR="00F673C4">
        <w:rPr>
          <w:rFonts w:cstheme="minorHAnsi"/>
        </w:rPr>
        <w:t xml:space="preserve"> prof. Franco Tornaghi</w:t>
      </w:r>
      <w:r w:rsidRPr="00921D99">
        <w:rPr>
          <w:rFonts w:cstheme="minorHAnsi"/>
        </w:rPr>
        <w:t>, nato a</w:t>
      </w:r>
      <w:r w:rsidR="00F673C4">
        <w:rPr>
          <w:rFonts w:cstheme="minorHAnsi"/>
        </w:rPr>
        <w:t xml:space="preserve"> Carugate</w:t>
      </w:r>
      <w:r w:rsidRPr="00921D99">
        <w:rPr>
          <w:rFonts w:cstheme="minorHAnsi"/>
        </w:rPr>
        <w:t>, in data</w:t>
      </w:r>
      <w:r w:rsidR="00F673C4">
        <w:rPr>
          <w:rFonts w:cstheme="minorHAnsi"/>
        </w:rPr>
        <w:t xml:space="preserve"> 23/01/1963</w:t>
      </w:r>
      <w:r w:rsidRPr="00921D99">
        <w:rPr>
          <w:rFonts w:cstheme="minorHAnsi"/>
        </w:rPr>
        <w:t>, Codice Fiscale n.</w:t>
      </w:r>
      <w:r w:rsidR="00F673C4">
        <w:rPr>
          <w:rFonts w:cstheme="minorHAnsi"/>
        </w:rPr>
        <w:t xml:space="preserve"> TRNFNC63A23B850C</w:t>
      </w:r>
      <w:r w:rsidRPr="00921D99">
        <w:rPr>
          <w:rFonts w:cstheme="minorHAnsi"/>
        </w:rPr>
        <w:t>, in qualità di</w:t>
      </w:r>
      <w:r w:rsidR="00F673C4">
        <w:rPr>
          <w:rFonts w:cstheme="minorHAnsi"/>
        </w:rPr>
        <w:t xml:space="preserve"> rappresentante legale</w:t>
      </w:r>
      <w:r w:rsidR="00EB544B">
        <w:rPr>
          <w:rFonts w:cstheme="minorHAnsi"/>
        </w:rPr>
        <w:t xml:space="preserve"> dell’Istituzione Scolastica, con la qualifica di Dirigente Scolastico</w:t>
      </w:r>
      <w:r w:rsidRPr="00921D99">
        <w:rPr>
          <w:rFonts w:cstheme="minorHAnsi"/>
        </w:rPr>
        <w:t>;</w:t>
      </w:r>
    </w:p>
    <w:p w14:paraId="7E789E00" w14:textId="77777777"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6"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6"/>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007C33BA"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7" w:name="_Hlk88246027"/>
      <w:r w:rsidRPr="00921D99">
        <w:rPr>
          <w:rFonts w:eastAsia="Times New Roman" w:cstheme="minorHAnsi"/>
          <w:b/>
          <w:lang w:eastAsia="it-IT"/>
        </w:rPr>
        <w:t>“A</w:t>
      </w:r>
      <w:bookmarkStart w:id="8" w:name="_Hlk88728505"/>
      <w:r w:rsidRPr="00921D99">
        <w:rPr>
          <w:rFonts w:eastAsia="Times New Roman" w:cstheme="minorHAnsi"/>
          <w:b/>
          <w:lang w:eastAsia="it-IT"/>
        </w:rPr>
        <w:t>”</w:t>
      </w:r>
      <w:r w:rsidRPr="00921D99">
        <w:rPr>
          <w:rFonts w:eastAsia="Times New Roman" w:cstheme="minorHAnsi"/>
          <w:lang w:eastAsia="it-IT"/>
        </w:rPr>
        <w:t xml:space="preserve">: </w:t>
      </w:r>
      <w:bookmarkEnd w:id="7"/>
      <w:r w:rsidRPr="00921D99">
        <w:rPr>
          <w:rFonts w:eastAsia="Times New Roman" w:cstheme="minorHAnsi"/>
          <w:lang w:eastAsia="it-IT"/>
        </w:rPr>
        <w:t>Preventivo formulato da</w:t>
      </w:r>
      <w:r w:rsidR="00542B5E">
        <w:rPr>
          <w:rFonts w:eastAsia="Times New Roman" w:cstheme="minorHAnsi"/>
          <w:lang w:eastAsia="it-IT"/>
        </w:rPr>
        <w:t xml:space="preserve"> Toolbox </w:t>
      </w:r>
      <w:proofErr w:type="spellStart"/>
      <w:r w:rsidR="00542B5E">
        <w:rPr>
          <w:rFonts w:eastAsia="Times New Roman" w:cstheme="minorHAnsi"/>
          <w:lang w:eastAsia="it-IT"/>
        </w:rPr>
        <w:t>srl</w:t>
      </w:r>
      <w:proofErr w:type="spellEnd"/>
      <w:r w:rsidRPr="00921D99">
        <w:rPr>
          <w:rFonts w:eastAsia="Times New Roman" w:cstheme="minorHAnsi"/>
          <w:lang w:eastAsia="it-IT"/>
        </w:rPr>
        <w:t xml:space="preserve"> del</w:t>
      </w:r>
      <w:r w:rsidR="00542B5E">
        <w:rPr>
          <w:rFonts w:eastAsia="Times New Roman" w:cstheme="minorHAnsi"/>
          <w:lang w:eastAsia="it-IT"/>
        </w:rPr>
        <w:t xml:space="preserve"> </w:t>
      </w:r>
      <w:r w:rsidR="002E7FCA">
        <w:rPr>
          <w:rFonts w:eastAsia="Times New Roman" w:cstheme="minorHAnsi"/>
          <w:lang w:eastAsia="it-IT"/>
        </w:rPr>
        <w:t>13/09/2023</w:t>
      </w:r>
      <w:bookmarkEnd w:id="8"/>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0B716B79"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lastRenderedPageBreak/>
        <w:t>Oggetto del presente Contratto è l’affidamento della Fornitura</w:t>
      </w:r>
      <w:bookmarkStart w:id="9" w:name="_Hlk114659875"/>
      <w:r w:rsidR="002E7FCA">
        <w:rPr>
          <w:rFonts w:cstheme="minorHAnsi"/>
        </w:rPr>
        <w:t xml:space="preserve"> di nuovi dispositivi elettronico-digitali per rinnovare il laboratorio di elettronica con nuove esperienze riguardanti le fonti di energia rinnovabile</w:t>
      </w:r>
      <w:bookmarkEnd w:id="9"/>
      <w:r w:rsidRPr="00921D99">
        <w:rPr>
          <w:rFonts w:cstheme="minorHAnsi"/>
          <w:bCs/>
          <w:lang w:bidi="it-IT"/>
        </w:rPr>
        <w:t xml:space="preserve"> 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0AD14BAC" w:rsidR="00921D99" w:rsidRPr="00921D99" w:rsidRDefault="002E7FCA" w:rsidP="00BA236D">
      <w:pPr>
        <w:numPr>
          <w:ilvl w:val="0"/>
          <w:numId w:val="38"/>
        </w:numPr>
        <w:spacing w:before="120" w:after="120" w:line="240" w:lineRule="auto"/>
        <w:ind w:left="851" w:hanging="425"/>
        <w:jc w:val="both"/>
        <w:rPr>
          <w:rFonts w:cstheme="minorHAnsi"/>
          <w:bCs/>
          <w:lang w:bidi="it-IT"/>
        </w:rPr>
      </w:pPr>
      <w:r>
        <w:t>N° 1</w:t>
      </w:r>
      <w:r>
        <w:t>Generatore di funzioni Tektronix AFG1062</w:t>
      </w:r>
      <w:r w:rsidR="00921D99" w:rsidRPr="00921D99">
        <w:rPr>
          <w:rFonts w:cstheme="minorHAnsi"/>
          <w:bCs/>
          <w:lang w:bidi="it-IT"/>
        </w:rPr>
        <w:t xml:space="preserve">; </w:t>
      </w:r>
    </w:p>
    <w:p w14:paraId="529FEA3E" w14:textId="0664445A" w:rsidR="002E7FCA" w:rsidRDefault="002E7FCA" w:rsidP="00BA236D">
      <w:pPr>
        <w:numPr>
          <w:ilvl w:val="0"/>
          <w:numId w:val="38"/>
        </w:numPr>
        <w:spacing w:before="120" w:after="120" w:line="240" w:lineRule="auto"/>
        <w:ind w:left="851" w:hanging="425"/>
        <w:jc w:val="both"/>
        <w:rPr>
          <w:rFonts w:cstheme="minorHAnsi"/>
          <w:bCs/>
          <w:lang w:bidi="it-IT"/>
        </w:rPr>
      </w:pPr>
      <w:r>
        <w:t xml:space="preserve">N° 1 </w:t>
      </w:r>
      <w:r>
        <w:t xml:space="preserve">Multimetro da banco BK Precision 5491B, 750V </w:t>
      </w:r>
      <w:proofErr w:type="spellStart"/>
      <w:r>
        <w:t>ca</w:t>
      </w:r>
      <w:proofErr w:type="spellEnd"/>
      <w:r>
        <w:t xml:space="preserve">, 20A </w:t>
      </w:r>
      <w:proofErr w:type="spellStart"/>
      <w:r>
        <w:t>ca</w:t>
      </w:r>
      <w:proofErr w:type="spellEnd"/>
      <w:r>
        <w:t xml:space="preserve">, CAT I/II, True RMS </w:t>
      </w:r>
      <w:r w:rsidRPr="00921D99">
        <w:rPr>
          <w:rFonts w:cstheme="minorHAnsi"/>
          <w:bCs/>
          <w:lang w:bidi="it-IT"/>
        </w:rPr>
        <w:t xml:space="preserve"> </w:t>
      </w:r>
    </w:p>
    <w:p w14:paraId="21A16D71" w14:textId="42D7DC73" w:rsidR="002E7FCA" w:rsidRPr="002E7FCA" w:rsidRDefault="002E7FCA" w:rsidP="00BA236D">
      <w:pPr>
        <w:numPr>
          <w:ilvl w:val="0"/>
          <w:numId w:val="38"/>
        </w:numPr>
        <w:spacing w:before="120" w:after="120" w:line="240" w:lineRule="auto"/>
        <w:ind w:left="851" w:hanging="425"/>
        <w:jc w:val="both"/>
        <w:rPr>
          <w:rFonts w:cstheme="minorHAnsi"/>
          <w:bCs/>
          <w:lang w:bidi="it-IT"/>
        </w:rPr>
      </w:pPr>
      <w:r>
        <w:t xml:space="preserve">N° 5 </w:t>
      </w:r>
      <w:r>
        <w:t>KIT DIY PANNELLO DA 70W A 32 CELLE SOLARI 5</w:t>
      </w:r>
    </w:p>
    <w:p w14:paraId="58CD043D" w14:textId="1AFCC772"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5 </w:t>
      </w:r>
      <w:r w:rsidR="002E7FCA">
        <w:t xml:space="preserve">Batteria al piombo sigillata </w:t>
      </w:r>
      <w:proofErr w:type="spellStart"/>
      <w:r w:rsidR="002E7FCA">
        <w:t>Fiamm</w:t>
      </w:r>
      <w:proofErr w:type="spellEnd"/>
      <w:r w:rsidR="002E7FCA">
        <w:t xml:space="preserve"> FG21202, 12V, 12Ah, 151 x 98 x 100mm</w:t>
      </w:r>
    </w:p>
    <w:p w14:paraId="246D8114" w14:textId="5464D89D"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5 </w:t>
      </w:r>
      <w:r w:rsidR="002E7FCA">
        <w:t>P312_ST_GE INVERTER ONDA SINUSOIDALE PURA 300W 12V CON USB</w:t>
      </w:r>
    </w:p>
    <w:p w14:paraId="509A712C" w14:textId="622C9C73" w:rsidR="005910F3" w:rsidRPr="005910F3" w:rsidRDefault="005910F3" w:rsidP="009127D2">
      <w:pPr>
        <w:numPr>
          <w:ilvl w:val="0"/>
          <w:numId w:val="38"/>
        </w:numPr>
        <w:spacing w:before="120" w:after="120" w:line="240" w:lineRule="auto"/>
        <w:ind w:left="851" w:hanging="425"/>
        <w:jc w:val="both"/>
        <w:rPr>
          <w:rFonts w:cstheme="minorHAnsi"/>
          <w:bCs/>
          <w:lang w:bidi="it-IT"/>
        </w:rPr>
      </w:pPr>
      <w:r>
        <w:t xml:space="preserve">N° 5 </w:t>
      </w:r>
      <w:r w:rsidR="002E7FCA">
        <w:t xml:space="preserve">Polaroid LS1024EU Regolatore di carica PWM 12 V, 24 V 10 A </w:t>
      </w:r>
    </w:p>
    <w:p w14:paraId="38F517DD" w14:textId="647AE189" w:rsidR="002E7FCA" w:rsidRPr="005910F3" w:rsidRDefault="005910F3" w:rsidP="009127D2">
      <w:pPr>
        <w:numPr>
          <w:ilvl w:val="0"/>
          <w:numId w:val="38"/>
        </w:numPr>
        <w:spacing w:before="120" w:after="120" w:line="240" w:lineRule="auto"/>
        <w:ind w:left="851" w:hanging="425"/>
        <w:jc w:val="both"/>
        <w:rPr>
          <w:rFonts w:cstheme="minorHAnsi"/>
          <w:bCs/>
          <w:lang w:bidi="it-IT"/>
        </w:rPr>
      </w:pPr>
      <w:r>
        <w:t xml:space="preserve">N° 5 </w:t>
      </w:r>
      <w:r w:rsidR="002E7FCA">
        <w:t xml:space="preserve">Sezionatore portafusibili ABB 2CSM204703R1801 E 92/32 PV, corrente </w:t>
      </w:r>
      <w:proofErr w:type="spellStart"/>
      <w:r w:rsidR="002E7FCA">
        <w:t>max</w:t>
      </w:r>
      <w:proofErr w:type="spellEnd"/>
      <w:r w:rsidR="002E7FCA">
        <w:t xml:space="preserve"> 32A, DP, fusibile 10 x 38mm, guida DIN System </w:t>
      </w:r>
    </w:p>
    <w:p w14:paraId="3FD8FEDC" w14:textId="7ED7929B"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 </w:t>
      </w:r>
      <w:r w:rsidR="002E7FCA">
        <w:t>Cavo Unipolare per fotovoltaico flessibile 1X4MMQ Nero 100 mt</w:t>
      </w:r>
    </w:p>
    <w:p w14:paraId="783CB532" w14:textId="7C345ECB"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 </w:t>
      </w:r>
      <w:r w:rsidR="002E7FCA">
        <w:t xml:space="preserve">Cavo Unipolare per fotovoltaico flessibile 1X4MMQ Rosso 100 mt </w:t>
      </w:r>
    </w:p>
    <w:p w14:paraId="77D146E3" w14:textId="011519F2"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 </w:t>
      </w:r>
      <w:r w:rsidR="002E7FCA">
        <w:t xml:space="preserve">Avviatore soft-start Schneider Electric, 3 fasi, 2,2 kW, 480 V c.a., IP20 </w:t>
      </w:r>
    </w:p>
    <w:p w14:paraId="11656913" w14:textId="0FC33D80"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 </w:t>
      </w:r>
      <w:r w:rsidR="002E7FCA">
        <w:t xml:space="preserve">Avviatore soft-start ABB, 3 fasi, 1,5 kW, 600 V c.a., IP20 </w:t>
      </w:r>
    </w:p>
    <w:p w14:paraId="20DC95AE" w14:textId="0FEA81CA"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5 </w:t>
      </w:r>
      <w:r w:rsidR="002E7FCA">
        <w:t xml:space="preserve">Interruttore magnetotermico ABB 1P 16A 6 </w:t>
      </w:r>
      <w:proofErr w:type="spellStart"/>
      <w:r w:rsidR="002E7FCA">
        <w:t>kA</w:t>
      </w:r>
      <w:proofErr w:type="spellEnd"/>
      <w:r w:rsidR="002E7FCA">
        <w:t xml:space="preserve">, Tipo C </w:t>
      </w:r>
    </w:p>
    <w:p w14:paraId="0F7F57EE" w14:textId="7D030DA6"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 </w:t>
      </w:r>
      <w:r w:rsidR="002E7FCA">
        <w:t xml:space="preserve">CPU PLC Siemens SIMATIC S7-1200, ingressi: 14 (digitale, 2 interruttori come analogico), uscite: 10 </w:t>
      </w:r>
    </w:p>
    <w:p w14:paraId="1D19765A" w14:textId="47DCCF1C"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3 </w:t>
      </w:r>
      <w:r w:rsidR="002E7FCA">
        <w:t xml:space="preserve">Modulo logico Schneider Electric Zelio </w:t>
      </w:r>
      <w:proofErr w:type="spellStart"/>
      <w:r w:rsidR="002E7FCA">
        <w:t>Logic</w:t>
      </w:r>
      <w:proofErr w:type="spellEnd"/>
      <w:r w:rsidR="002E7FCA">
        <w:t xml:space="preserve">, ingressi: 16, uscite: 10 </w:t>
      </w:r>
    </w:p>
    <w:p w14:paraId="13286C90" w14:textId="5CE08FDF"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5 </w:t>
      </w:r>
      <w:r w:rsidR="002E7FCA">
        <w:t xml:space="preserve">Alimentatore a montaggio su guida DIN Schneider Electric, 24V, 2.1A, 100 → 240V </w:t>
      </w:r>
      <w:proofErr w:type="spellStart"/>
      <w:r w:rsidR="002E7FCA">
        <w:t>ca</w:t>
      </w:r>
      <w:proofErr w:type="spellEnd"/>
      <w:r w:rsidR="002E7FCA">
        <w:t xml:space="preserve"> </w:t>
      </w:r>
    </w:p>
    <w:p w14:paraId="6AA6F868" w14:textId="17D99682"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3 </w:t>
      </w:r>
      <w:r w:rsidR="002E7FCA">
        <w:t xml:space="preserve">Trasformatore RS PRO, primario 115 V </w:t>
      </w:r>
      <w:proofErr w:type="spellStart"/>
      <w:r w:rsidR="002E7FCA">
        <w:t>ac</w:t>
      </w:r>
      <w:proofErr w:type="spellEnd"/>
      <w:r w:rsidR="002E7FCA">
        <w:t xml:space="preserve">, 230V </w:t>
      </w:r>
      <w:proofErr w:type="spellStart"/>
      <w:r w:rsidR="002E7FCA">
        <w:t>ca</w:t>
      </w:r>
      <w:proofErr w:type="spellEnd"/>
      <w:r w:rsidR="002E7FCA">
        <w:t xml:space="preserve">, secondario 24V </w:t>
      </w:r>
      <w:proofErr w:type="spellStart"/>
      <w:r w:rsidR="002E7FCA">
        <w:t>ca</w:t>
      </w:r>
      <w:proofErr w:type="spellEnd"/>
      <w:r w:rsidR="002E7FCA">
        <w:t>, 50VA, 2 uscite, Montaggio a morsetto</w:t>
      </w:r>
    </w:p>
    <w:p w14:paraId="4E884A75" w14:textId="6A12A72D"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10 </w:t>
      </w:r>
      <w:r w:rsidR="002E7FCA">
        <w:t>Kit sensori Kit sensori 37 in 1 per Arduino™ Adatto per (scheda): Arduino</w:t>
      </w:r>
    </w:p>
    <w:p w14:paraId="3BF116BB" w14:textId="79D8486E"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5 </w:t>
      </w:r>
      <w:r w:rsidR="002E7FCA">
        <w:t xml:space="preserve">Multimetro Portatile RS PRO RS14, 600V </w:t>
      </w:r>
      <w:proofErr w:type="spellStart"/>
      <w:r w:rsidR="002E7FCA">
        <w:t>ca</w:t>
      </w:r>
      <w:proofErr w:type="spellEnd"/>
      <w:r w:rsidR="002E7FCA">
        <w:t xml:space="preserve">, 10A </w:t>
      </w:r>
      <w:proofErr w:type="spellStart"/>
      <w:r w:rsidR="002E7FCA">
        <w:t>ca</w:t>
      </w:r>
      <w:proofErr w:type="spellEnd"/>
      <w:r w:rsidR="002E7FCA">
        <w:t>, CAT III</w:t>
      </w:r>
    </w:p>
    <w:p w14:paraId="30541791" w14:textId="2303B8FD" w:rsidR="002E7FCA" w:rsidRPr="002E7FCA" w:rsidRDefault="005910F3" w:rsidP="00BA236D">
      <w:pPr>
        <w:numPr>
          <w:ilvl w:val="0"/>
          <w:numId w:val="38"/>
        </w:numPr>
        <w:spacing w:before="120" w:after="120" w:line="240" w:lineRule="auto"/>
        <w:ind w:left="851" w:hanging="425"/>
        <w:jc w:val="both"/>
        <w:rPr>
          <w:rFonts w:cstheme="minorHAnsi"/>
          <w:bCs/>
          <w:lang w:bidi="it-IT"/>
        </w:rPr>
      </w:pPr>
      <w:r>
        <w:t xml:space="preserve">N° 2 </w:t>
      </w:r>
      <w:r w:rsidR="002E7FCA">
        <w:t xml:space="preserve">Multimetro Portatile RS PRO IDM98IV, 1000V </w:t>
      </w:r>
      <w:proofErr w:type="spellStart"/>
      <w:r w:rsidR="002E7FCA">
        <w:t>ca</w:t>
      </w:r>
      <w:proofErr w:type="spellEnd"/>
      <w:r w:rsidR="002E7FCA">
        <w:t xml:space="preserve">, 10A </w:t>
      </w:r>
      <w:proofErr w:type="spellStart"/>
      <w:r w:rsidR="002E7FCA">
        <w:t>ca</w:t>
      </w:r>
      <w:proofErr w:type="spellEnd"/>
      <w:r w:rsidR="002E7FCA">
        <w:t>, CAT III/IV, True RMS (Da ordinare al fornitore)</w:t>
      </w:r>
    </w:p>
    <w:p w14:paraId="08FE0BB3" w14:textId="0299A835" w:rsidR="00921D99" w:rsidRDefault="002E7FCA" w:rsidP="005910F3">
      <w:pPr>
        <w:numPr>
          <w:ilvl w:val="0"/>
          <w:numId w:val="38"/>
        </w:numPr>
        <w:spacing w:before="120" w:after="120" w:line="240" w:lineRule="auto"/>
        <w:ind w:left="851" w:hanging="425"/>
        <w:jc w:val="both"/>
        <w:rPr>
          <w:rFonts w:cstheme="minorHAnsi"/>
          <w:bCs/>
          <w:lang w:bidi="it-IT"/>
        </w:rPr>
      </w:pPr>
      <w:r>
        <w:t xml:space="preserve">Pinza amperometrica RS PRO, Max 1000A </w:t>
      </w:r>
      <w:proofErr w:type="spellStart"/>
      <w:r>
        <w:t>ca</w:t>
      </w:r>
      <w:proofErr w:type="spellEnd"/>
      <w:r>
        <w:t xml:space="preserve">, Max 600V cc </w:t>
      </w:r>
      <w:r w:rsidR="00921D99" w:rsidRPr="00921D99">
        <w:rPr>
          <w:rFonts w:cstheme="minorHAnsi"/>
          <w:bCs/>
          <w:lang w:bidi="it-IT"/>
        </w:rPr>
        <w:t xml:space="preserve"> </w:t>
      </w:r>
    </w:p>
    <w:p w14:paraId="5BD6AD67" w14:textId="77777777" w:rsidR="005910F3" w:rsidRPr="005910F3" w:rsidRDefault="005910F3" w:rsidP="005910F3">
      <w:pPr>
        <w:spacing w:before="120" w:after="120" w:line="240" w:lineRule="auto"/>
        <w:ind w:left="426"/>
        <w:jc w:val="both"/>
        <w:rPr>
          <w:rFonts w:cstheme="minorHAnsi"/>
          <w:bCs/>
          <w:lang w:bidi="it-IT"/>
        </w:rPr>
      </w:pP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28443E12"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Pr="00921D99">
        <w:rPr>
          <w:rFonts w:cstheme="minorHAnsi"/>
          <w:bCs/>
          <w:color w:val="0070C0"/>
          <w:lang w:bidi="it-IT"/>
        </w:rPr>
        <w:t xml:space="preserve"> </w:t>
      </w:r>
      <w:r w:rsidRPr="00921D99">
        <w:rPr>
          <w:rFonts w:cstheme="minorHAnsi"/>
        </w:rPr>
        <w:t>ha durata fino al</w:t>
      </w:r>
      <w:r w:rsidR="005910F3">
        <w:rPr>
          <w:rFonts w:cstheme="minorHAnsi"/>
        </w:rPr>
        <w:t xml:space="preserve"> 31/12/2024</w:t>
      </w:r>
      <w:r w:rsidRPr="00921D99">
        <w:rPr>
          <w:rFonts w:cstheme="minorHAnsi"/>
        </w:rPr>
        <w:t xml:space="preserve">, a decorrere dalla data di sottoscrizione del Contratto. </w:t>
      </w:r>
      <w:bookmarkStart w:id="10" w:name="_Toc199651519"/>
    </w:p>
    <w:p w14:paraId="211F701E" w14:textId="5A458D90"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5910F3">
        <w:rPr>
          <w:rFonts w:cstheme="minorHAnsi"/>
          <w:color w:val="000000"/>
        </w:rPr>
        <w:t xml:space="preserve"> </w:t>
      </w:r>
      <w:r w:rsidRPr="00921D99">
        <w:rPr>
          <w:rFonts w:cstheme="minorHAnsi"/>
          <w:color w:val="000000"/>
        </w:rPr>
        <w:t xml:space="preserve">dovrà essere effettuata/o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5910F3">
        <w:rPr>
          <w:rFonts w:cstheme="minorHAnsi"/>
          <w:color w:val="000000"/>
        </w:rPr>
        <w:t xml:space="preserve"> 31/12/2023</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lastRenderedPageBreak/>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04C9D60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0B43B14D"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 xml:space="preserve">i principi DNSH relativi all’Intervento/Misura, come previsti nella Scheda 3 </w:t>
      </w:r>
      <w:r w:rsidR="005910F3">
        <w:rPr>
          <w:rFonts w:cstheme="minorHAnsi"/>
        </w:rPr>
        <w:t xml:space="preserve">o nella </w:t>
      </w:r>
      <w:r w:rsidRPr="00921D99">
        <w:rPr>
          <w:rFonts w:cstheme="minorHAnsi"/>
        </w:rPr>
        <w:t>Scheda 6.</w:t>
      </w:r>
    </w:p>
    <w:p w14:paraId="664A53D2" w14:textId="60289FC6"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1" w:name="_Hlk140180662"/>
      <w:r w:rsidRPr="00921D99">
        <w:rPr>
          <w:rFonts w:eastAsia="Times New Roman" w:cstheme="minorHAnsi"/>
          <w:lang w:eastAsia="it-IT"/>
        </w:rPr>
        <w:t xml:space="preserve">Fornitura </w:t>
      </w:r>
      <w:bookmarkEnd w:id="11"/>
      <w:r w:rsidRPr="00921D99">
        <w:rPr>
          <w:rFonts w:eastAsia="Times New Roman" w:cstheme="minorHAnsi"/>
          <w:lang w:eastAsia="it-IT"/>
        </w:rPr>
        <w:t>dovrà essere svolta</w:t>
      </w:r>
      <w:r w:rsidR="001D665D">
        <w:rPr>
          <w:rFonts w:eastAsia="Times New Roman" w:cstheme="minorHAnsi"/>
          <w:lang w:eastAsia="it-IT"/>
        </w:rPr>
        <w:t xml:space="preserve"> </w:t>
      </w:r>
      <w:r w:rsidRPr="00921D99">
        <w:rPr>
          <w:rFonts w:eastAsia="Times New Roman" w:cstheme="minorHAnsi"/>
          <w:lang w:eastAsia="it-IT"/>
        </w:rPr>
        <w:t>con le seguenti modalità:</w:t>
      </w:r>
      <w:r w:rsidR="001D665D">
        <w:rPr>
          <w:rFonts w:eastAsia="Times New Roman" w:cstheme="minorHAnsi"/>
          <w:lang w:eastAsia="it-IT"/>
        </w:rPr>
        <w:t xml:space="preserve"> consegna presso la sede Settembrini di via Narni 18</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6DC7215E"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w:t>
      </w:r>
      <w:r w:rsidRPr="00921D99">
        <w:rPr>
          <w:rFonts w:eastAsia="Times New Roman" w:cstheme="minorHAnsi"/>
          <w:lang w:eastAsia="it-IT"/>
        </w:rPr>
        <w:lastRenderedPageBreak/>
        <w:t>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7BEF6CBA"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1D665D">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318D18D1"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75871608" w14:textId="2B2B273D" w:rsidR="00921D99" w:rsidRPr="001D665D" w:rsidRDefault="00921D99" w:rsidP="001D665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1D665D">
        <w:rPr>
          <w:rFonts w:eastAsia="Times New Roman" w:cstheme="minorHAnsi"/>
          <w:lang w:eastAsia="ar-SA"/>
        </w:rPr>
        <w:t>Nello specifico,</w:t>
      </w:r>
      <w:r w:rsidRPr="001D665D">
        <w:rPr>
          <w:rFonts w:eastAsia="Times New Roman" w:cstheme="minorHAnsi"/>
          <w:i/>
          <w:iCs/>
          <w:lang w:eastAsia="ar-SA"/>
        </w:rPr>
        <w:t xml:space="preserve"> </w:t>
      </w:r>
      <w:r w:rsidRPr="001D665D">
        <w:rPr>
          <w:rFonts w:eastAsia="Times New Roman" w:cstheme="minorHAnsi"/>
          <w:lang w:eastAsia="ar-SA"/>
        </w:rPr>
        <w:t xml:space="preserve">per l’azione relativa ai </w:t>
      </w:r>
      <w:r w:rsidRPr="001D665D">
        <w:rPr>
          <w:rFonts w:eastAsia="Times New Roman" w:cstheme="minorHAnsi"/>
          <w:i/>
          <w:iCs/>
          <w:lang w:eastAsia="ar-SA"/>
        </w:rPr>
        <w:t>Next generation labs</w:t>
      </w:r>
      <w:r w:rsidRPr="001D665D">
        <w:rPr>
          <w:rFonts w:eastAsia="Times New Roman" w:cstheme="minorHAnsi"/>
          <w:lang w:eastAsia="ar-SA"/>
        </w:rPr>
        <w:t>, è necessario che ciascuna scuola del secondo ciclo attivi e rendiconti almeno 1 laboratorio per le professioni digitali del futuro.</w:t>
      </w:r>
      <w:bookmarkEnd w:id="15"/>
      <w:r w:rsidRPr="001D665D">
        <w:rPr>
          <w:rFonts w:eastAsia="Times New Roman" w:cstheme="minorHAnsi"/>
          <w:lang w:eastAsia="ar-SA"/>
        </w:rPr>
        <w:t xml:space="preserve"> </w:t>
      </w:r>
      <w:bookmarkStart w:id="16"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lastRenderedPageBreak/>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5495ED00"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Pr="00921D99">
        <w:rPr>
          <w:rFonts w:eastAsia="Times New Roman" w:cstheme="minorHAnsi"/>
          <w:color w:val="0070C0"/>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w:t>
      </w:r>
      <w:r w:rsidRPr="00921D99">
        <w:rPr>
          <w:rFonts w:eastAsia="Times New Roman" w:cstheme="minorHAnsi"/>
        </w:rPr>
        <w:lastRenderedPageBreak/>
        <w:t>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00097730"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Pr="00921D99">
        <w:rPr>
          <w:rFonts w:eastAsia="Times New Roman" w:cstheme="minorHAnsi"/>
          <w:bCs/>
          <w:i/>
          <w:iCs/>
          <w:color w:val="4472C4" w:themeColor="accent1"/>
          <w:lang w:eastAsia="it-IT"/>
        </w:rPr>
        <w:t xml:space="preserve"> </w:t>
      </w:r>
      <w:r w:rsidRPr="00921D99">
        <w:rPr>
          <w:rFonts w:eastAsia="Times New Roman" w:cstheme="minorHAnsi"/>
          <w:bCs/>
          <w:lang w:eastAsia="it-IT"/>
        </w:rPr>
        <w:t>è complessivamente pari ad €</w:t>
      </w:r>
      <w:r w:rsidR="001D665D">
        <w:rPr>
          <w:rFonts w:eastAsia="Times New Roman" w:cstheme="minorHAnsi"/>
          <w:bCs/>
          <w:lang w:eastAsia="it-IT"/>
        </w:rPr>
        <w:t xml:space="preserve"> 10436</w:t>
      </w:r>
      <w:r w:rsidRPr="00921D99">
        <w:rPr>
          <w:rFonts w:eastAsia="Times New Roman" w:cstheme="minorHAnsi"/>
          <w:bCs/>
          <w:lang w:eastAsia="it-IT"/>
        </w:rPr>
        <w:t xml:space="preserve"> (euro</w:t>
      </w:r>
      <w:r w:rsidR="001D665D">
        <w:rPr>
          <w:rFonts w:eastAsia="Times New Roman" w:cstheme="minorHAnsi"/>
          <w:bCs/>
          <w:lang w:eastAsia="it-IT"/>
        </w:rPr>
        <w:t xml:space="preserve"> </w:t>
      </w:r>
      <w:proofErr w:type="spellStart"/>
      <w:r w:rsidR="001D665D">
        <w:rPr>
          <w:rFonts w:eastAsia="Times New Roman" w:cstheme="minorHAnsi"/>
          <w:bCs/>
          <w:lang w:eastAsia="it-IT"/>
        </w:rPr>
        <w:t>diecimilaquattrocentrotrentasei</w:t>
      </w:r>
      <w:proofErr w:type="spellEnd"/>
      <w:r w:rsidR="001D665D">
        <w:rPr>
          <w:rFonts w:eastAsia="Times New Roman" w:cstheme="minorHAnsi"/>
          <w:bCs/>
          <w:lang w:eastAsia="it-IT"/>
        </w:rPr>
        <w:t>/00),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05E0DDEC"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04AD28AC"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Pr="00921D99">
        <w:rPr>
          <w:rFonts w:eastAsia="Times New Roman" w:cstheme="minorHAnsi"/>
          <w:i/>
          <w:iCs/>
          <w:color w:val="4472C4" w:themeColor="accent1"/>
          <w:lang w:eastAsia="it-IT"/>
        </w:rPr>
        <w:t xml:space="preserve"> </w:t>
      </w:r>
      <w:r w:rsidRPr="00921D99">
        <w:rPr>
          <w:rFonts w:eastAsia="Times New Roman" w:cstheme="minorHAnsi"/>
          <w:lang w:eastAsia="it-IT"/>
        </w:rPr>
        <w:t>svolto come risultante dal Preventivo Economico formulato dall’Affidatario, sarà remunerato</w:t>
      </w:r>
      <w:r w:rsidR="001D665D">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6A75B1C1"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1D665D">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55E7BC1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530616">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427D0556"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1D665D">
        <w:rPr>
          <w:rFonts w:eastAsia="Times New Roman" w:cstheme="minorHAnsi"/>
          <w:lang w:eastAsia="it-IT"/>
        </w:rPr>
        <w:t xml:space="preserve"> mera fornitura di materiale.</w:t>
      </w:r>
    </w:p>
    <w:p w14:paraId="3EF63ACF" w14:textId="77777777" w:rsidR="00921D99" w:rsidRPr="001D665D" w:rsidRDefault="00921D99" w:rsidP="00921D99">
      <w:pPr>
        <w:suppressAutoHyphens/>
        <w:spacing w:before="120" w:after="120" w:line="240" w:lineRule="auto"/>
        <w:ind w:left="360"/>
        <w:jc w:val="center"/>
        <w:rPr>
          <w:rFonts w:eastAsia="Times New Roman" w:cstheme="minorHAnsi"/>
          <w:b/>
          <w:i/>
          <w:iCs/>
          <w:lang w:eastAsia="it-IT"/>
        </w:rPr>
      </w:pPr>
      <w:r w:rsidRPr="001D665D">
        <w:rPr>
          <w:rFonts w:eastAsia="Times New Roman" w:cstheme="minorHAnsi"/>
          <w:b/>
          <w:lang w:eastAsia="it-IT"/>
        </w:rPr>
        <w:lastRenderedPageBreak/>
        <w:t>Art. 6-</w:t>
      </w:r>
      <w:r w:rsidRPr="001D665D">
        <w:rPr>
          <w:rFonts w:eastAsia="Times New Roman" w:cstheme="minorHAnsi"/>
          <w:b/>
          <w:i/>
          <w:iCs/>
          <w:lang w:eastAsia="it-IT"/>
        </w:rPr>
        <w:t>bis</w:t>
      </w:r>
    </w:p>
    <w:p w14:paraId="073ADD30" w14:textId="77777777" w:rsidR="00921D99" w:rsidRPr="001D665D" w:rsidRDefault="00921D99" w:rsidP="00921D99">
      <w:pPr>
        <w:suppressAutoHyphens/>
        <w:spacing w:before="120" w:after="120" w:line="240" w:lineRule="auto"/>
        <w:ind w:left="360"/>
        <w:jc w:val="center"/>
        <w:rPr>
          <w:rFonts w:eastAsia="Times New Roman" w:cstheme="minorHAnsi"/>
          <w:b/>
          <w:lang w:eastAsia="it-IT"/>
        </w:rPr>
      </w:pPr>
      <w:r w:rsidRPr="001D665D">
        <w:rPr>
          <w:rFonts w:eastAsia="Times New Roman" w:cstheme="minorHAnsi"/>
          <w:b/>
          <w:lang w:eastAsia="it-IT"/>
        </w:rPr>
        <w:t>(Consegna)</w:t>
      </w:r>
    </w:p>
    <w:p w14:paraId="78442093" w14:textId="2FA7628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Fornitura verrà eseguita, sulla base di specifiche richieste di consegna, presso la sede dell’Istituto, sita in </w:t>
      </w:r>
      <w:r w:rsidR="001D665D">
        <w:rPr>
          <w:rFonts w:eastAsia="Times New Roman" w:cstheme="minorHAnsi"/>
          <w:lang w:eastAsia="it-IT"/>
        </w:rPr>
        <w:t>Via Narni 18 Milano (sede Settembrini)</w:t>
      </w:r>
      <w:r w:rsidRPr="00921D99">
        <w:rPr>
          <w:rFonts w:eastAsia="Times New Roman" w:cstheme="minorHAnsi"/>
          <w:lang w:eastAsia="it-IT"/>
        </w:rPr>
        <w:t>.</w:t>
      </w:r>
    </w:p>
    <w:p w14:paraId="68A292B3" w14:textId="7A66EBFA"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D065AD3" w14:textId="075D6696" w:rsidR="00921D99" w:rsidRPr="001D665D" w:rsidRDefault="00921D99" w:rsidP="001D665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42CCC87B"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1D665D">
        <w:rPr>
          <w:rFonts w:eastAsia="Times New Roman" w:cstheme="minorHAnsi"/>
          <w:lang w:eastAsia="it-IT"/>
        </w:rPr>
        <w:t xml:space="preserve"> 31/12/2023</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26D1E284" w14:textId="71D6366C" w:rsidR="00921D99" w:rsidRPr="001D665D" w:rsidRDefault="00921D99" w:rsidP="00921D99">
      <w:pPr>
        <w:suppressAutoHyphens/>
        <w:spacing w:before="120" w:after="120" w:line="240" w:lineRule="auto"/>
        <w:ind w:left="360"/>
        <w:jc w:val="center"/>
        <w:rPr>
          <w:rFonts w:eastAsia="Times New Roman" w:cstheme="minorHAnsi"/>
          <w:b/>
          <w:lang w:eastAsia="it-IT"/>
        </w:rPr>
      </w:pPr>
      <w:r w:rsidRPr="001D665D">
        <w:rPr>
          <w:rFonts w:eastAsia="Times New Roman" w:cstheme="minorHAnsi"/>
          <w:b/>
          <w:lang w:eastAsia="it-IT"/>
        </w:rPr>
        <w:t xml:space="preserve"> </w:t>
      </w:r>
    </w:p>
    <w:p w14:paraId="5CEBA16A" w14:textId="77777777" w:rsidR="00921D99" w:rsidRPr="001D665D" w:rsidRDefault="00921D99" w:rsidP="00921D99">
      <w:pPr>
        <w:suppressAutoHyphens/>
        <w:spacing w:before="120" w:after="120" w:line="240" w:lineRule="auto"/>
        <w:ind w:left="360"/>
        <w:jc w:val="center"/>
        <w:rPr>
          <w:rFonts w:eastAsia="Times New Roman" w:cstheme="minorHAnsi"/>
          <w:b/>
          <w:i/>
          <w:iCs/>
          <w:lang w:eastAsia="it-IT"/>
        </w:rPr>
      </w:pPr>
      <w:r w:rsidRPr="001D665D">
        <w:rPr>
          <w:rFonts w:eastAsia="Times New Roman" w:cstheme="minorHAnsi"/>
          <w:b/>
          <w:lang w:eastAsia="it-IT"/>
        </w:rPr>
        <w:t>Art. 6-</w:t>
      </w:r>
      <w:r w:rsidRPr="001D665D">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1D665D">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6C4F5BEB"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lastRenderedPageBreak/>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57CF6FE5"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5F84D4AA"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10"/>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lastRenderedPageBreak/>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2C90E8B1" w14:textId="4375581D" w:rsidR="008D2490" w:rsidRDefault="00921D99" w:rsidP="008D2490">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8D2490" w:rsidRDefault="00921D99" w:rsidP="008D2490">
      <w:pPr>
        <w:numPr>
          <w:ilvl w:val="0"/>
          <w:numId w:val="41"/>
        </w:numPr>
        <w:suppressAutoHyphens/>
        <w:spacing w:before="120" w:after="120" w:line="240" w:lineRule="auto"/>
        <w:ind w:left="426" w:hanging="426"/>
        <w:jc w:val="both"/>
        <w:rPr>
          <w:rFonts w:eastAsia="Calibri" w:cstheme="minorHAnsi"/>
          <w:bCs/>
          <w:lang w:eastAsia="it-IT"/>
        </w:rPr>
      </w:pPr>
      <w:r w:rsidRPr="008D2490">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19AAB4B8"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8D2490">
        <w:rPr>
          <w:rFonts w:eastAsia="Times New Roman" w:cstheme="minorHAnsi"/>
          <w:color w:val="000000" w:themeColor="text1"/>
          <w:lang w:eastAsia="it-IT"/>
        </w:rPr>
        <w:t xml:space="preserve"> 2087,2</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lastRenderedPageBreak/>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35596068"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8D2490">
        <w:rPr>
          <w:rFonts w:cstheme="minorHAnsi"/>
        </w:rPr>
        <w:t xml:space="preserve"> 100</w:t>
      </w:r>
      <w:r w:rsidRPr="00921D99">
        <w:rPr>
          <w:rFonts w:cstheme="minorHAnsi"/>
        </w:rPr>
        <w:t xml:space="preserve"> per ogni giorno di ritardo nella consegna dei prodotti richiesti; </w:t>
      </w:r>
    </w:p>
    <w:p w14:paraId="274EB149" w14:textId="2925BE09"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8D2490">
        <w:rPr>
          <w:rFonts w:cstheme="minorHAnsi"/>
        </w:rPr>
        <w:t xml:space="preserve"> 100</w:t>
      </w:r>
      <w:r w:rsidRPr="00921D99">
        <w:rPr>
          <w:rFonts w:cstheme="minorHAnsi"/>
        </w:rPr>
        <w:t xml:space="preserve"> (euro</w:t>
      </w:r>
      <w:r w:rsidR="008D2490">
        <w:rPr>
          <w:rFonts w:cstheme="minorHAnsi"/>
        </w:rPr>
        <w:t xml:space="preserve"> 100</w:t>
      </w:r>
      <w:r w:rsidRPr="00921D99">
        <w:rPr>
          <w:rFonts w:cstheme="minorHAnsi"/>
        </w:rPr>
        <w:t xml:space="preserve">/00), per ogni giorno di ritardo nella consegna dei report previsti;  </w:t>
      </w:r>
    </w:p>
    <w:p w14:paraId="10F40035" w14:textId="0EB2CFAC"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in caso di mancato invio della documentazione a comprova indicata all’art. 4, commi 5, 6 e 7 del presente Contratto, verrà applicata una penale pari</w:t>
      </w:r>
      <w:r w:rsidR="00530616">
        <w:rPr>
          <w:rFonts w:eastAsia="Verdana" w:cstheme="minorHAnsi"/>
        </w:rPr>
        <w:t xml:space="preserve"> 0,3 (0/3) per mille dell’importo netto del Contratto </w:t>
      </w:r>
      <w:r w:rsidRPr="00921D99">
        <w:rPr>
          <w:rFonts w:cstheme="minorHAnsi"/>
        </w:rPr>
        <w:t>per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67DE62FD"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95FFFE4" w14:textId="7F582755"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3-bis, del D.L. n. 77/2021, di consegnare all’Istituto, entro il termine di sei mesi dalla stipula, la certificazione e la relazione di cui al precedente art. 4, comma 7,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2E8C1BD" w14:textId="13566063"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8D2490">
        <w:rPr>
          <w:rFonts w:eastAsia="Verdana" w:cstheme="minorHAnsi"/>
          <w:i/>
          <w:iCs/>
        </w:rPr>
        <w:t xml:space="preserve"> </w:t>
      </w:r>
      <w:r w:rsidRPr="008D2490">
        <w:rPr>
          <w:rFonts w:eastAsia="Times New Roman" w:cstheme="minorHAnsi"/>
          <w:lang w:eastAsia="it-IT"/>
        </w:rPr>
        <w:t>€</w:t>
      </w:r>
      <w:r w:rsidR="008D2490">
        <w:rPr>
          <w:rFonts w:eastAsia="Times New Roman" w:cstheme="minorHAnsi"/>
          <w:lang w:eastAsia="it-IT"/>
        </w:rPr>
        <w:t xml:space="preserve"> 100</w:t>
      </w:r>
      <w:r w:rsidRPr="00921D99">
        <w:rPr>
          <w:rFonts w:eastAsia="Times New Roman" w:cstheme="minorHAnsi"/>
          <w:lang w:eastAsia="it-IT"/>
        </w:rPr>
        <w:t xml:space="preserve"> </w:t>
      </w:r>
      <w:r w:rsidRPr="00921D99">
        <w:rPr>
          <w:rFonts w:cstheme="minorHAnsi"/>
        </w:rPr>
        <w:t xml:space="preserve">(euro </w:t>
      </w:r>
      <w:r w:rsidR="008D2490">
        <w:rPr>
          <w:rFonts w:cstheme="minorHAnsi"/>
        </w:rPr>
        <w:t>100</w:t>
      </w:r>
      <w:r w:rsidRPr="00921D99">
        <w:rPr>
          <w:rFonts w:cstheme="minorHAnsi"/>
        </w:rPr>
        <w:t>/00</w:t>
      </w:r>
      <w:proofErr w:type="gramStart"/>
      <w:r w:rsidRPr="00921D99">
        <w:rPr>
          <w:rFonts w:cstheme="minorHAnsi"/>
        </w:rPr>
        <w:t xml:space="preserve">), </w:t>
      </w:r>
      <w:r w:rsidRPr="00921D99">
        <w:rPr>
          <w:rFonts w:eastAsia="Times New Roman" w:cstheme="minorHAnsi"/>
          <w:lang w:eastAsia="it-IT"/>
        </w:rPr>
        <w:t xml:space="preserve"> per</w:t>
      </w:r>
      <w:proofErr w:type="gramEnd"/>
      <w:r w:rsidRPr="00921D99">
        <w:rPr>
          <w:rFonts w:eastAsia="Times New Roman" w:cstheme="minorHAnsi"/>
          <w:lang w:eastAsia="it-IT"/>
        </w:rPr>
        <w:t xml:space="preserve"> ogni giorno di ritardo, fino ad un massimo </w:t>
      </w:r>
      <w:r w:rsidRPr="008D2490">
        <w:rPr>
          <w:rFonts w:eastAsia="Times New Roman" w:cstheme="minorHAnsi"/>
          <w:lang w:eastAsia="it-IT"/>
        </w:rPr>
        <w:t>di 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09C3C5D8"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 xml:space="preserve">€ </w:t>
      </w:r>
      <w:r w:rsidR="008D2490">
        <w:rPr>
          <w:rFonts w:cstheme="minorHAnsi"/>
        </w:rPr>
        <w:t>100</w:t>
      </w:r>
      <w:r w:rsidRPr="00921D99">
        <w:rPr>
          <w:rFonts w:cstheme="minorHAnsi"/>
        </w:rPr>
        <w:t xml:space="preserve"> (euro</w:t>
      </w:r>
      <w:r w:rsidR="008D2490">
        <w:rPr>
          <w:rFonts w:cstheme="minorHAnsi"/>
        </w:rPr>
        <w:t xml:space="preserve"> 100</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w:t>
      </w:r>
      <w:r w:rsidRPr="00921D99">
        <w:rPr>
          <w:rFonts w:cstheme="minorHAnsi"/>
        </w:rPr>
        <w:lastRenderedPageBreak/>
        <w:t xml:space="preserve">–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75B054DC"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8D2490">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5BE0A292"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8D2490">
        <w:rPr>
          <w:rFonts w:eastAsia="Times New Roman" w:cstheme="minorHAnsi"/>
          <w:lang w:eastAsia="it-IT"/>
        </w:rPr>
        <w:t xml:space="preserve"> 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1B86C14A"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Il presente Contratto si risolverà immediatamente di diritto, nelle forme e secondo le modalità previste dall’art. 1456 c.c., nei seguenti </w:t>
      </w:r>
      <w:r w:rsidRPr="008D2490">
        <w:rPr>
          <w:rFonts w:eastAsia="Times New Roman" w:cstheme="minorHAnsi"/>
          <w:lang w:eastAsia="it-IT"/>
        </w:rPr>
        <w:t>casi</w:t>
      </w:r>
      <w:r w:rsidR="008D2490">
        <w:rPr>
          <w:rFonts w:eastAsia="Times New Roman" w:cstheme="minorHAnsi"/>
          <w:lang w:eastAsia="it-IT"/>
        </w:rPr>
        <w:t>:</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1903CB59"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lastRenderedPageBreak/>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p w14:paraId="1C926592" w14:textId="419CC80F"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8D2490">
        <w:rPr>
          <w:rFonts w:cstheme="minorHAnsi"/>
        </w:rPr>
        <w:t>a 30</w:t>
      </w:r>
      <w:r w:rsidRPr="00921D99">
        <w:rPr>
          <w:rFonts w:cstheme="minorHAnsi"/>
        </w:rPr>
        <w:t xml:space="preserve"> (trenta) dallo svolgimento delle verifiche da parte della Stazione Appaltante.</w:t>
      </w:r>
      <w:bookmarkEnd w:id="25"/>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 xml:space="preserve">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w:t>
      </w:r>
      <w:r w:rsidRPr="00921D99">
        <w:rPr>
          <w:rFonts w:eastAsia="Times New Roman" w:cstheme="minorHAnsi"/>
          <w:lang w:eastAsia="it-IT"/>
        </w:rPr>
        <w:lastRenderedPageBreak/>
        <w:t>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0152E8BF"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w:t>
      </w:r>
      <w:r w:rsidRPr="00921D99">
        <w:rPr>
          <w:rFonts w:eastAsia="Times New Roman" w:cstheme="minorHAnsi"/>
          <w:lang w:eastAsia="it-IT"/>
        </w:rPr>
        <w:lastRenderedPageBreak/>
        <w:t xml:space="preserve">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2655B9EE"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8D2490">
        <w:rPr>
          <w:rFonts w:eastAsia="Times New Roman" w:cstheme="minorHAnsi"/>
          <w:lang w:eastAsia="ar-SA"/>
        </w:rPr>
        <w:t xml:space="preserve">prof. Franco </w:t>
      </w:r>
      <w:proofErr w:type="spellStart"/>
      <w:r w:rsidR="008D2490">
        <w:rPr>
          <w:rFonts w:eastAsia="Times New Roman" w:cstheme="minorHAnsi"/>
          <w:lang w:eastAsia="ar-SA"/>
        </w:rPr>
        <w:t>Tornaghi</w:t>
      </w:r>
      <w:proofErr w:type="spellEnd"/>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2336F5DB" w14:textId="249F399D"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530616">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21CA6215"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530616">
        <w:rPr>
          <w:rFonts w:eastAsia="Times New Roman" w:cstheme="minorHAnsi"/>
          <w:i/>
          <w:lang w:eastAsia="ar-SA"/>
        </w:rPr>
        <w:t xml:space="preserve"> dirigente@maxwell.mi.it</w:t>
      </w:r>
    </w:p>
    <w:p w14:paraId="4364F606" w14:textId="443E451B"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sidR="00530616">
        <w:rPr>
          <w:rFonts w:eastAsia="Times New Roman" w:cstheme="minorHAnsi"/>
          <w:lang w:eastAsia="ar-SA"/>
        </w:rPr>
        <w:t xml:space="preserve"> 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2EA3B246"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lastRenderedPageBreak/>
        <w:t>Per qualunque controversia inerente alla validità, interpretazione, esecuzione e risoluzione del presente Contratto, sarà esclusivamente competente il Foro di</w:t>
      </w:r>
      <w:r w:rsidR="00530616">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3BA2A8CC"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sidR="00C10451">
        <w:rPr>
          <w:rFonts w:eastAsia="Calibri" w:cstheme="minorHAnsi"/>
        </w:rPr>
        <w:t>, legalmente rappresentato nella figura del Dirigente Scolastico pro-tempore prof. Franco Tornaghi</w:t>
      </w:r>
      <w:r w:rsidRPr="00921D99">
        <w:rPr>
          <w:rFonts w:eastAsia="Calibri" w:cstheme="minorHAnsi"/>
        </w:rPr>
        <w:t xml:space="preserve">. </w:t>
      </w:r>
    </w:p>
    <w:p w14:paraId="60EDFB3D" w14:textId="0E9C3B78"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Pr="00921D99">
        <w:rPr>
          <w:rFonts w:eastAsia="Times New Roman" w:cstheme="minorHAnsi"/>
          <w:bCs/>
          <w:i/>
          <w:iCs/>
          <w:color w:val="4472C4" w:themeColor="accent1"/>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6"/>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lastRenderedPageBreak/>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6B559CBB" w:rsidR="00921D99" w:rsidRPr="00921D99" w:rsidRDefault="00C10451" w:rsidP="00921D99">
      <w:pPr>
        <w:spacing w:before="120" w:after="120"/>
        <w:rPr>
          <w:rFonts w:cstheme="minorHAnsi"/>
        </w:rPr>
      </w:pPr>
      <w:r>
        <w:rPr>
          <w:rFonts w:cstheme="minorHAnsi"/>
        </w:rPr>
        <w:t>Milano</w:t>
      </w:r>
      <w:r w:rsidR="00921D99" w:rsidRPr="00921D99">
        <w:rPr>
          <w:rFonts w:cstheme="minorHAnsi"/>
        </w:rPr>
        <w:t>, lì</w:t>
      </w:r>
      <w:r w:rsidR="008D2490">
        <w:rPr>
          <w:rFonts w:cstheme="minorHAnsi"/>
        </w:rPr>
        <w:t xml:space="preserve"> 13/09/2023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56E5C3F3" w14:textId="77777777" w:rsidR="00C10451" w:rsidRDefault="00C10451" w:rsidP="00921D99">
      <w:pPr>
        <w:tabs>
          <w:tab w:val="left" w:pos="6379"/>
        </w:tabs>
        <w:spacing w:before="120" w:after="120"/>
        <w:jc w:val="both"/>
        <w:rPr>
          <w:rFonts w:cstheme="minorHAnsi"/>
          <w:i/>
        </w:rPr>
      </w:pPr>
    </w:p>
    <w:p w14:paraId="23A008C1" w14:textId="77777777" w:rsidR="00C10451" w:rsidRPr="00921D99" w:rsidRDefault="00C10451" w:rsidP="00921D99">
      <w:pPr>
        <w:tabs>
          <w:tab w:val="left" w:pos="6379"/>
        </w:tabs>
        <w:spacing w:before="120" w:after="120"/>
        <w:jc w:val="both"/>
        <w:rPr>
          <w:rFonts w:cstheme="minorHAnsi"/>
          <w:i/>
        </w:rPr>
      </w:pPr>
    </w:p>
    <w:p w14:paraId="1FF0E674" w14:textId="443D63E4"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C10451">
        <w:rPr>
          <w:rFonts w:cstheme="minorHAnsi"/>
        </w:rPr>
        <w:t>Milano</w:t>
      </w:r>
      <w:r w:rsidRPr="00921D99">
        <w:rPr>
          <w:rFonts w:cstheme="minorHAnsi"/>
        </w:rPr>
        <w:t>, lì</w:t>
      </w:r>
      <w:r w:rsidR="008D2490">
        <w:rPr>
          <w:rFonts w:cstheme="minorHAnsi"/>
        </w:rPr>
        <w:t xml:space="preserve"> 13/09/2023</w:t>
      </w:r>
      <w:r w:rsidRPr="00921D99">
        <w:rPr>
          <w:rFonts w:cstheme="minorHAnsi"/>
          <w:i/>
          <w:iCs/>
        </w:rPr>
        <w:tab/>
        <w:t xml:space="preserve">                                                                                                  </w:t>
      </w:r>
      <w:r w:rsidRPr="00921D99">
        <w:rPr>
          <w:rFonts w:cstheme="minorHAnsi"/>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05E82" w14:textId="77777777" w:rsidR="00C0714E" w:rsidRDefault="00C0714E" w:rsidP="00FD5D8F">
      <w:pPr>
        <w:spacing w:after="0" w:line="240" w:lineRule="auto"/>
      </w:pPr>
      <w:r>
        <w:separator/>
      </w:r>
    </w:p>
  </w:endnote>
  <w:endnote w:type="continuationSeparator" w:id="0">
    <w:p w14:paraId="299627C0" w14:textId="77777777" w:rsidR="00C0714E" w:rsidRDefault="00C0714E"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DF7A" w14:textId="77777777" w:rsidR="00C0714E" w:rsidRDefault="00C0714E" w:rsidP="00FD5D8F">
      <w:pPr>
        <w:spacing w:after="0" w:line="240" w:lineRule="auto"/>
      </w:pPr>
      <w:r>
        <w:separator/>
      </w:r>
    </w:p>
  </w:footnote>
  <w:footnote w:type="continuationSeparator" w:id="0">
    <w:p w14:paraId="289F2418" w14:textId="77777777" w:rsidR="00C0714E" w:rsidRDefault="00C0714E"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9"/>
  </w:num>
  <w:num w:numId="2">
    <w:abstractNumId w:val="27"/>
  </w:num>
  <w:num w:numId="3">
    <w:abstractNumId w:val="20"/>
  </w:num>
  <w:num w:numId="4">
    <w:abstractNumId w:val="4"/>
  </w:num>
  <w:num w:numId="5">
    <w:abstractNumId w:val="38"/>
  </w:num>
  <w:num w:numId="6">
    <w:abstractNumId w:val="32"/>
  </w:num>
  <w:num w:numId="7">
    <w:abstractNumId w:val="30"/>
  </w:num>
  <w:num w:numId="8">
    <w:abstractNumId w:val="41"/>
  </w:num>
  <w:num w:numId="9">
    <w:abstractNumId w:val="43"/>
  </w:num>
  <w:num w:numId="10">
    <w:abstractNumId w:val="42"/>
  </w:num>
  <w:num w:numId="11">
    <w:abstractNumId w:val="3"/>
  </w:num>
  <w:num w:numId="12">
    <w:abstractNumId w:val="7"/>
  </w:num>
  <w:num w:numId="13">
    <w:abstractNumId w:val="2"/>
  </w:num>
  <w:num w:numId="14">
    <w:abstractNumId w:val="36"/>
  </w:num>
  <w:num w:numId="15">
    <w:abstractNumId w:val="22"/>
  </w:num>
  <w:num w:numId="16">
    <w:abstractNumId w:val="25"/>
  </w:num>
  <w:num w:numId="17">
    <w:abstractNumId w:val="6"/>
  </w:num>
  <w:num w:numId="18">
    <w:abstractNumId w:val="1"/>
  </w:num>
  <w:num w:numId="19">
    <w:abstractNumId w:val="13"/>
  </w:num>
  <w:num w:numId="20">
    <w:abstractNumId w:val="19"/>
  </w:num>
  <w:num w:numId="21">
    <w:abstractNumId w:val="35"/>
  </w:num>
  <w:num w:numId="22">
    <w:abstractNumId w:val="24"/>
  </w:num>
  <w:num w:numId="23">
    <w:abstractNumId w:val="8"/>
  </w:num>
  <w:num w:numId="24">
    <w:abstractNumId w:val="11"/>
  </w:num>
  <w:num w:numId="25">
    <w:abstractNumId w:val="40"/>
  </w:num>
  <w:num w:numId="26">
    <w:abstractNumId w:val="12"/>
  </w:num>
  <w:num w:numId="27">
    <w:abstractNumId w:val="29"/>
  </w:num>
  <w:num w:numId="28">
    <w:abstractNumId w:val="37"/>
  </w:num>
  <w:num w:numId="29">
    <w:abstractNumId w:val="39"/>
  </w:num>
  <w:num w:numId="30">
    <w:abstractNumId w:val="33"/>
  </w:num>
  <w:num w:numId="31">
    <w:abstractNumId w:val="18"/>
  </w:num>
  <w:num w:numId="32">
    <w:abstractNumId w:val="16"/>
  </w:num>
  <w:num w:numId="33">
    <w:abstractNumId w:val="21"/>
  </w:num>
  <w:num w:numId="34">
    <w:abstractNumId w:val="28"/>
  </w:num>
  <w:num w:numId="35">
    <w:abstractNumId w:val="23"/>
  </w:num>
  <w:num w:numId="36">
    <w:abstractNumId w:val="34"/>
  </w:num>
  <w:num w:numId="37">
    <w:abstractNumId w:val="0"/>
  </w:num>
  <w:num w:numId="38">
    <w:abstractNumId w:val="17"/>
  </w:num>
  <w:num w:numId="39">
    <w:abstractNumId w:val="15"/>
  </w:num>
  <w:num w:numId="40">
    <w:abstractNumId w:val="44"/>
  </w:num>
  <w:num w:numId="41">
    <w:abstractNumId w:val="14"/>
  </w:num>
  <w:num w:numId="42">
    <w:abstractNumId w:val="31"/>
  </w:num>
  <w:num w:numId="43">
    <w:abstractNumId w:val="10"/>
  </w:num>
  <w:num w:numId="44">
    <w:abstractNumId w:val="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1920"/>
    <w:rsid w:val="00046C9A"/>
    <w:rsid w:val="000518C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D665D"/>
    <w:rsid w:val="001E49D4"/>
    <w:rsid w:val="001F2534"/>
    <w:rsid w:val="0020343A"/>
    <w:rsid w:val="00215C8F"/>
    <w:rsid w:val="00215C98"/>
    <w:rsid w:val="0022292A"/>
    <w:rsid w:val="00225347"/>
    <w:rsid w:val="002301FB"/>
    <w:rsid w:val="002462F7"/>
    <w:rsid w:val="00247D6F"/>
    <w:rsid w:val="00252DC7"/>
    <w:rsid w:val="0026555F"/>
    <w:rsid w:val="00276F83"/>
    <w:rsid w:val="002A42B0"/>
    <w:rsid w:val="002A543C"/>
    <w:rsid w:val="002C03E2"/>
    <w:rsid w:val="002C071C"/>
    <w:rsid w:val="002C3D7C"/>
    <w:rsid w:val="002C67A8"/>
    <w:rsid w:val="002D1B95"/>
    <w:rsid w:val="002D2B3C"/>
    <w:rsid w:val="002E7FCA"/>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0616"/>
    <w:rsid w:val="00536263"/>
    <w:rsid w:val="00541195"/>
    <w:rsid w:val="00542B5E"/>
    <w:rsid w:val="00552F53"/>
    <w:rsid w:val="00563694"/>
    <w:rsid w:val="00571E8A"/>
    <w:rsid w:val="005910F3"/>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70077B"/>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2490"/>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714E"/>
    <w:rsid w:val="00C1045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B544B"/>
    <w:rsid w:val="00EC3757"/>
    <w:rsid w:val="00EC6384"/>
    <w:rsid w:val="00ED2BE5"/>
    <w:rsid w:val="00EE029E"/>
    <w:rsid w:val="00F01E0B"/>
    <w:rsid w:val="00F113F9"/>
    <w:rsid w:val="00F119EB"/>
    <w:rsid w:val="00F16E1E"/>
    <w:rsid w:val="00F17900"/>
    <w:rsid w:val="00F34BDF"/>
    <w:rsid w:val="00F35926"/>
    <w:rsid w:val="00F364A1"/>
    <w:rsid w:val="00F57253"/>
    <w:rsid w:val="00F673C4"/>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ED53-1B8C-42C7-9FFD-BDBCD55B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7939</Words>
  <Characters>45258</Characters>
  <Application>Microsoft Office Word</Application>
  <DocSecurity>0</DocSecurity>
  <Lines>377</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5</cp:revision>
  <cp:lastPrinted>2023-05-04T06:42:00Z</cp:lastPrinted>
  <dcterms:created xsi:type="dcterms:W3CDTF">2023-09-10T18:15:00Z</dcterms:created>
  <dcterms:modified xsi:type="dcterms:W3CDTF">2023-09-13T13:53:00Z</dcterms:modified>
</cp:coreProperties>
</file>