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7777777"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SCHEMA DI CONTRATTO</w:t>
            </w:r>
          </w:p>
          <w:p w14:paraId="3B06E7DB" w14:textId="4AC22F95" w:rsidR="00921D99" w:rsidRPr="00921D99" w:rsidRDefault="00921D99" w:rsidP="00921D99">
            <w:pPr>
              <w:spacing w:before="120" w:after="120" w:line="276" w:lineRule="auto"/>
              <w:jc w:val="center"/>
              <w:rPr>
                <w:rFonts w:cstheme="minorHAnsi"/>
                <w:b/>
              </w:rPr>
            </w:pPr>
            <w:r w:rsidRPr="00921D99">
              <w:rPr>
                <w:rFonts w:cstheme="minorHAnsi"/>
                <w:b/>
              </w:rPr>
              <w:t>PER L’AFFIDAMENTO DEL</w:t>
            </w:r>
            <w:bookmarkStart w:id="0" w:name="_Hlk114659311"/>
            <w:r w:rsidR="00743706">
              <w:rPr>
                <w:rFonts w:cstheme="minorHAnsi"/>
                <w:b/>
              </w:rPr>
              <w:t xml:space="preserve"> SERVIZIO di tinteggiatura corridoi scolastici sedi Maxwell e Settembrini</w:t>
            </w:r>
            <w:bookmarkStart w:id="1" w:name="_Hlk113989825"/>
            <w:bookmarkStart w:id="2" w:name="_Hlk88492261"/>
            <w:r w:rsidRPr="00921D99">
              <w:rPr>
                <w:rFonts w:cstheme="minorHAnsi"/>
                <w:b/>
              </w:rPr>
              <w:t xml:space="preserve"> nell’ambito dell’Investimento 3.2 della Missione 4 – Componente 1 del PNRR, finanziato dall’Unione europea – </w:t>
            </w:r>
            <w:r w:rsidRPr="00921D99">
              <w:rPr>
                <w:rFonts w:cstheme="minorHAnsi"/>
                <w:b/>
                <w:i/>
                <w:iCs/>
              </w:rPr>
              <w:t>Next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4B83121B" w:rsidR="00921D99" w:rsidRPr="00921D99" w:rsidRDefault="00921D99" w:rsidP="00921D99">
            <w:pPr>
              <w:spacing w:before="120" w:after="120" w:line="240" w:lineRule="auto"/>
              <w:jc w:val="center"/>
              <w:rPr>
                <w:rFonts w:cstheme="minorHAnsi"/>
                <w:b/>
                <w:bCs/>
              </w:rPr>
            </w:pPr>
            <w:r w:rsidRPr="00921D99">
              <w:rPr>
                <w:rFonts w:cstheme="minorHAnsi"/>
                <w:b/>
                <w:bCs/>
              </w:rPr>
              <w:t xml:space="preserve">C.I.G. </w:t>
            </w:r>
            <w:bookmarkStart w:id="3" w:name="_Hlk113989644"/>
            <w:r w:rsidR="00743706">
              <w:rPr>
                <w:rFonts w:cstheme="minorHAnsi"/>
                <w:b/>
                <w:bCs/>
              </w:rPr>
              <w:t>999792872F</w:t>
            </w:r>
            <w:bookmarkEnd w:id="3"/>
            <w:r w:rsidRPr="00921D99">
              <w:rPr>
                <w:rFonts w:cstheme="minorHAnsi"/>
                <w:b/>
                <w:bCs/>
              </w:rPr>
              <w:t xml:space="preserve"> </w:t>
            </w:r>
          </w:p>
          <w:p w14:paraId="4453207A" w14:textId="0E8FD217" w:rsidR="00921D99" w:rsidRPr="00921D99" w:rsidRDefault="00921D99" w:rsidP="00921D99">
            <w:pPr>
              <w:spacing w:before="120" w:after="120" w:line="240" w:lineRule="auto"/>
              <w:jc w:val="center"/>
              <w:rPr>
                <w:rFonts w:cstheme="minorHAnsi"/>
                <w:b/>
              </w:rPr>
            </w:pPr>
            <w:r w:rsidRPr="00921D99">
              <w:rPr>
                <w:rFonts w:cstheme="minorHAnsi"/>
                <w:b/>
                <w:bCs/>
              </w:rPr>
              <w:t xml:space="preserve">CUP: </w:t>
            </w:r>
            <w:r w:rsidR="00743706">
              <w:rPr>
                <w:rFonts w:cstheme="minorHAnsi"/>
                <w:b/>
                <w:bCs/>
              </w:rPr>
              <w:t>G44D23000900006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61157FAA"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w:t>
      </w:r>
      <w:r w:rsidR="00743706">
        <w:rPr>
          <w:rFonts w:cstheme="minorHAnsi"/>
          <w:bCs/>
          <w:lang w:bidi="it-IT"/>
        </w:rPr>
        <w:t xml:space="preserve"> Servizio di tinteggiatura corridoi scolastici delle sedi Maxwell e Settembrini</w:t>
      </w:r>
    </w:p>
    <w:p w14:paraId="54E3A389" w14:textId="2D400A71" w:rsidR="00921D99" w:rsidRPr="00921D99" w:rsidRDefault="00921D99" w:rsidP="00921D99">
      <w:pPr>
        <w:suppressAutoHyphens/>
        <w:spacing w:before="120" w:after="120"/>
        <w:jc w:val="center"/>
        <w:rPr>
          <w:rFonts w:cstheme="minorHAnsi"/>
          <w:bCs/>
          <w:lang w:bidi="it-IT"/>
        </w:rPr>
      </w:pPr>
      <w:r w:rsidRPr="00921D99">
        <w:rPr>
          <w:rFonts w:cstheme="minorHAnsi"/>
          <w:b/>
          <w:lang w:bidi="it-IT"/>
        </w:rPr>
        <w:t>C.I.G.</w:t>
      </w:r>
      <w:r w:rsidR="00743706">
        <w:rPr>
          <w:rFonts w:cstheme="minorHAnsi"/>
          <w:b/>
          <w:lang w:bidi="it-IT"/>
        </w:rPr>
        <w:t xml:space="preserve"> 999792872F</w:t>
      </w:r>
    </w:p>
    <w:p w14:paraId="3C05AD11" w14:textId="6DE148A5"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743706">
        <w:rPr>
          <w:rFonts w:cstheme="minorHAnsi"/>
          <w:b/>
          <w:lang w:bidi="it-IT"/>
        </w:rPr>
        <w:t xml:space="preserve"> G44D23000900006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355DC920" w14:textId="77777777" w:rsidR="00056011" w:rsidRDefault="00056011" w:rsidP="00056011">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Tornaghi</w:t>
      </w:r>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p>
    <w:p w14:paraId="7E789E00" w14:textId="3ABED17B" w:rsidR="00921D99" w:rsidRPr="00921D99" w:rsidRDefault="00056011" w:rsidP="00056011">
      <w:pPr>
        <w:spacing w:before="120" w:after="120" w:line="276" w:lineRule="auto"/>
        <w:ind w:right="49"/>
        <w:jc w:val="both"/>
        <w:rPr>
          <w:rFonts w:cstheme="minorHAnsi"/>
        </w:rPr>
      </w:pPr>
      <w:r>
        <w:rPr>
          <w:rFonts w:cstheme="minorHAnsi"/>
        </w:rPr>
        <w:t xml:space="preserve">                                                                                                        </w:t>
      </w:r>
      <w:r w:rsidR="00921D99" w:rsidRPr="00921D99">
        <w:rPr>
          <w:rFonts w:cstheme="minorHAnsi"/>
        </w:rPr>
        <w:t>(a seguire anche «</w:t>
      </w:r>
      <w:r w:rsidR="00921D99" w:rsidRPr="00921D99">
        <w:rPr>
          <w:rFonts w:cstheme="minorHAnsi"/>
          <w:b/>
          <w:bCs/>
        </w:rPr>
        <w:t>Istituto</w:t>
      </w:r>
      <w:r w:rsidR="00921D99" w:rsidRPr="00921D99">
        <w:rPr>
          <w:rFonts w:cstheme="minorHAnsi"/>
        </w:rPr>
        <w:t>» o «</w:t>
      </w:r>
      <w:r w:rsidR="00921D99" w:rsidRPr="00921D99">
        <w:rPr>
          <w:rFonts w:cstheme="minorHAnsi"/>
          <w:b/>
          <w:bCs/>
        </w:rPr>
        <w:t>Stazione Appaltante</w:t>
      </w:r>
      <w:r w:rsidR="00921D99"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4"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4"/>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Default="00921D99" w:rsidP="00921D99">
      <w:pPr>
        <w:suppressAutoHyphens/>
        <w:spacing w:before="120" w:after="120" w:line="240" w:lineRule="auto"/>
        <w:jc w:val="center"/>
        <w:outlineLvl w:val="0"/>
        <w:rPr>
          <w:rFonts w:eastAsia="Times New Roman" w:cstheme="minorHAnsi"/>
          <w:b/>
          <w:lang w:eastAsia="it-IT"/>
        </w:rPr>
      </w:pPr>
    </w:p>
    <w:p w14:paraId="4419ADF4" w14:textId="77777777" w:rsidR="00AB6CF4" w:rsidRPr="00921D99" w:rsidRDefault="00AB6CF4"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36442B68"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5" w:name="_Hlk88246027"/>
      <w:r w:rsidRPr="00921D99">
        <w:rPr>
          <w:rFonts w:eastAsia="Times New Roman" w:cstheme="minorHAnsi"/>
          <w:b/>
          <w:lang w:eastAsia="it-IT"/>
        </w:rPr>
        <w:t>“A</w:t>
      </w:r>
      <w:bookmarkStart w:id="6" w:name="_Hlk88728505"/>
      <w:r w:rsidRPr="00921D99">
        <w:rPr>
          <w:rFonts w:eastAsia="Times New Roman" w:cstheme="minorHAnsi"/>
          <w:b/>
          <w:lang w:eastAsia="it-IT"/>
        </w:rPr>
        <w:t>”</w:t>
      </w:r>
      <w:r w:rsidRPr="00921D99">
        <w:rPr>
          <w:rFonts w:eastAsia="Times New Roman" w:cstheme="minorHAnsi"/>
          <w:lang w:eastAsia="it-IT"/>
        </w:rPr>
        <w:t xml:space="preserve">: </w:t>
      </w:r>
      <w:bookmarkEnd w:id="5"/>
      <w:r w:rsidRPr="00921D99">
        <w:rPr>
          <w:rFonts w:eastAsia="Times New Roman" w:cstheme="minorHAnsi"/>
          <w:lang w:eastAsia="it-IT"/>
        </w:rPr>
        <w:t>Preventivo formulato da</w:t>
      </w:r>
      <w:r w:rsidR="00743706">
        <w:rPr>
          <w:rFonts w:eastAsia="Times New Roman" w:cstheme="minorHAnsi"/>
          <w:lang w:eastAsia="it-IT"/>
        </w:rPr>
        <w:t xml:space="preserve"> Project Group </w:t>
      </w:r>
      <w:proofErr w:type="spellStart"/>
      <w:r w:rsidR="00743706">
        <w:rPr>
          <w:rFonts w:eastAsia="Times New Roman" w:cstheme="minorHAnsi"/>
          <w:lang w:eastAsia="it-IT"/>
        </w:rPr>
        <w:t>srl</w:t>
      </w:r>
      <w:proofErr w:type="spellEnd"/>
      <w:r w:rsidRPr="00921D99">
        <w:rPr>
          <w:rFonts w:eastAsia="Times New Roman" w:cstheme="minorHAnsi"/>
          <w:lang w:eastAsia="it-IT"/>
        </w:rPr>
        <w:t xml:space="preserve"> del </w:t>
      </w:r>
      <w:bookmarkEnd w:id="6"/>
      <w:r w:rsidR="006831F2">
        <w:rPr>
          <w:rFonts w:eastAsia="Times New Roman" w:cstheme="minorHAnsi"/>
          <w:lang w:eastAsia="it-IT"/>
        </w:rPr>
        <w:t>26/09/2023</w:t>
      </w:r>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1C5D92E7" w14:textId="77777777" w:rsid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642EC0A7" w14:textId="77777777" w:rsidR="00AB6CF4" w:rsidRDefault="00AB6CF4" w:rsidP="00921D99">
      <w:pPr>
        <w:suppressAutoHyphens/>
        <w:spacing w:before="120" w:after="120" w:line="240" w:lineRule="auto"/>
        <w:ind w:left="425"/>
        <w:jc w:val="both"/>
        <w:rPr>
          <w:rFonts w:eastAsia="Calibri" w:cstheme="minorHAnsi"/>
          <w:lang w:eastAsia="it-IT"/>
        </w:rPr>
      </w:pPr>
    </w:p>
    <w:p w14:paraId="0723C409" w14:textId="77777777" w:rsidR="00AB6CF4" w:rsidRPr="00921D99" w:rsidRDefault="00AB6CF4" w:rsidP="00921D99">
      <w:pPr>
        <w:suppressAutoHyphens/>
        <w:spacing w:before="120" w:after="120" w:line="240" w:lineRule="auto"/>
        <w:ind w:left="425"/>
        <w:jc w:val="both"/>
        <w:rPr>
          <w:rFonts w:eastAsia="Calibri" w:cstheme="minorHAnsi"/>
          <w:lang w:eastAsia="it-IT"/>
        </w:rPr>
      </w:pP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523CCF34"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t>Oggetto del presente Contratto è l’affidamento del</w:t>
      </w:r>
      <w:r w:rsidR="00743706">
        <w:rPr>
          <w:rFonts w:cstheme="minorHAnsi"/>
        </w:rPr>
        <w:t xml:space="preserve"> Servizio</w:t>
      </w:r>
      <w:bookmarkStart w:id="7" w:name="_Hlk114659855"/>
      <w:r w:rsidR="00743706">
        <w:rPr>
          <w:rFonts w:cstheme="minorHAnsi"/>
        </w:rPr>
        <w:t xml:space="preserve"> di tinteggiatura corridoi scolastici delle sedi Maxwell</w:t>
      </w:r>
      <w:r w:rsidR="006831F2">
        <w:rPr>
          <w:rFonts w:cstheme="minorHAnsi"/>
        </w:rPr>
        <w:t xml:space="preserve"> </w:t>
      </w:r>
      <w:r w:rsidR="00743706">
        <w:rPr>
          <w:rFonts w:cstheme="minorHAnsi"/>
        </w:rPr>
        <w:t>e Settembrini</w:t>
      </w:r>
      <w:bookmarkEnd w:id="7"/>
      <w:r w:rsidR="00743706">
        <w:rPr>
          <w:rFonts w:cstheme="minorHAnsi"/>
        </w:rPr>
        <w:t xml:space="preserve"> </w:t>
      </w:r>
      <w:r w:rsidRPr="00921D99">
        <w:rPr>
          <w:rFonts w:cstheme="minorHAnsi"/>
          <w:bCs/>
          <w:lang w:bidi="it-IT"/>
        </w:rPr>
        <w:t>secondo il dettaglio dettato nel presente Contratto e dal Capitolato Tecnico al quale si rinvia.</w:t>
      </w:r>
    </w:p>
    <w:p w14:paraId="08FE0BB3" w14:textId="1B9100AE" w:rsidR="00921D99" w:rsidRPr="00743706" w:rsidRDefault="00921D99" w:rsidP="00804639">
      <w:pPr>
        <w:numPr>
          <w:ilvl w:val="0"/>
          <w:numId w:val="38"/>
        </w:numPr>
        <w:spacing w:before="120" w:after="120" w:line="240" w:lineRule="auto"/>
        <w:ind w:left="425" w:hanging="425"/>
        <w:jc w:val="both"/>
        <w:rPr>
          <w:rFonts w:cstheme="minorHAnsi"/>
        </w:rPr>
      </w:pPr>
      <w:r w:rsidRPr="00743706">
        <w:rPr>
          <w:rFonts w:cstheme="minorHAnsi"/>
          <w:bCs/>
          <w:lang w:bidi="it-IT"/>
        </w:rPr>
        <w:t xml:space="preserve">In particolare, l’affidamento avrà ad oggetto: </w:t>
      </w:r>
      <w:r w:rsidR="00743706" w:rsidRPr="00743706">
        <w:rPr>
          <w:rFonts w:cstheme="minorHAnsi"/>
          <w:bCs/>
          <w:lang w:bidi="it-IT"/>
        </w:rPr>
        <w:t>tinteggiatura corridoi scolastici di differenti colori delle sedi Maxwell e Settembrini, in accordo con lo svolgimento della modalità DADA.</w:t>
      </w: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3C6D8551"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w:t>
      </w:r>
      <w:r w:rsidR="00743706">
        <w:rPr>
          <w:rFonts w:cstheme="minorHAnsi"/>
        </w:rPr>
        <w:t xml:space="preserve"> Servizio</w:t>
      </w:r>
      <w:r w:rsidRPr="00921D99">
        <w:rPr>
          <w:rFonts w:cstheme="minorHAnsi"/>
          <w:bCs/>
          <w:color w:val="0070C0"/>
          <w:lang w:bidi="it-IT"/>
        </w:rPr>
        <w:t xml:space="preserve"> </w:t>
      </w:r>
      <w:r w:rsidRPr="00921D99">
        <w:rPr>
          <w:rFonts w:cstheme="minorHAnsi"/>
        </w:rPr>
        <w:t>ha durata fino al</w:t>
      </w:r>
      <w:r w:rsidR="00743706">
        <w:rPr>
          <w:rFonts w:cstheme="minorHAnsi"/>
        </w:rPr>
        <w:t xml:space="preserve"> 31/08/2024</w:t>
      </w:r>
      <w:r w:rsidRPr="00921D99">
        <w:rPr>
          <w:rFonts w:cstheme="minorHAnsi"/>
        </w:rPr>
        <w:t xml:space="preserve">, a decorrere dalla data di sottoscrizione del Contratto. </w:t>
      </w:r>
      <w:bookmarkStart w:id="8" w:name="_Toc199651519"/>
    </w:p>
    <w:p w14:paraId="211F701E" w14:textId="2357C080" w:rsidR="00921D99" w:rsidRPr="00921D99" w:rsidRDefault="00743706" w:rsidP="00BA236D">
      <w:pPr>
        <w:numPr>
          <w:ilvl w:val="0"/>
          <w:numId w:val="26"/>
        </w:numPr>
        <w:spacing w:before="120" w:after="120" w:line="240" w:lineRule="auto"/>
        <w:ind w:left="426" w:hanging="426"/>
        <w:jc w:val="both"/>
        <w:rPr>
          <w:rFonts w:cstheme="minorHAnsi"/>
        </w:rPr>
      </w:pPr>
      <w:r>
        <w:rPr>
          <w:rFonts w:cstheme="minorHAnsi"/>
          <w:color w:val="000000"/>
        </w:rPr>
        <w:t xml:space="preserve">Il servizio </w:t>
      </w:r>
      <w:r w:rsidR="00921D99" w:rsidRPr="00921D99">
        <w:rPr>
          <w:rFonts w:cstheme="minorHAnsi"/>
          <w:color w:val="000000"/>
        </w:rPr>
        <w:t xml:space="preserve">dovrà essere effettuato nel rispetto del cronoprogramma, di </w:t>
      </w:r>
      <w:r w:rsidR="00921D99" w:rsidRPr="00921D99">
        <w:rPr>
          <w:rFonts w:cstheme="minorHAnsi"/>
          <w:i/>
          <w:iCs/>
          <w:color w:val="000000"/>
        </w:rPr>
        <w:t>milestone</w:t>
      </w:r>
      <w:r w:rsidR="00921D99" w:rsidRPr="00921D99">
        <w:rPr>
          <w:rFonts w:cstheme="minorHAnsi"/>
          <w:color w:val="000000"/>
        </w:rPr>
        <w:t xml:space="preserve"> e </w:t>
      </w:r>
      <w:r w:rsidR="00921D99" w:rsidRPr="00921D99">
        <w:rPr>
          <w:rFonts w:cstheme="minorHAnsi"/>
          <w:i/>
          <w:iCs/>
          <w:color w:val="000000"/>
        </w:rPr>
        <w:t>target</w:t>
      </w:r>
      <w:r w:rsidR="00921D99" w:rsidRPr="00921D99">
        <w:rPr>
          <w:rFonts w:cstheme="minorHAnsi"/>
          <w:color w:val="000000"/>
        </w:rPr>
        <w:t xml:space="preserve"> del PNRR e dovrà essere completato entro e non oltre la data del</w:t>
      </w:r>
      <w:r>
        <w:rPr>
          <w:rFonts w:cstheme="minorHAnsi"/>
          <w:color w:val="000000"/>
        </w:rPr>
        <w:t xml:space="preserve"> 31/12/2024</w:t>
      </w:r>
      <w:r w:rsidR="00921D99"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7BBEB65A"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w:t>
      </w:r>
      <w:r w:rsidR="00866A94">
        <w:rPr>
          <w:rFonts w:cstheme="minorHAnsi"/>
        </w:rPr>
        <w:t xml:space="preserve"> il Servizio</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664A53D2" w14:textId="3E09FA2C" w:rsidR="00921D99" w:rsidRPr="00921D99" w:rsidRDefault="00866A94"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Pr>
          <w:rFonts w:cstheme="minorHAnsi"/>
        </w:rPr>
        <w:t xml:space="preserve">Il Servizio </w:t>
      </w:r>
      <w:r w:rsidR="00921D99" w:rsidRPr="00921D99">
        <w:rPr>
          <w:rFonts w:eastAsia="Times New Roman" w:cstheme="minorHAnsi"/>
          <w:lang w:eastAsia="it-IT"/>
        </w:rPr>
        <w:t>dovrà essere svolto con le seguenti modalità:</w:t>
      </w:r>
      <w:r>
        <w:rPr>
          <w:rFonts w:eastAsia="Times New Roman" w:cstheme="minorHAnsi"/>
          <w:lang w:eastAsia="it-IT"/>
        </w:rPr>
        <w:t xml:space="preserve"> effettuazione lavori presso le sedi Maxwell e Settembrini</w:t>
      </w:r>
      <w:r w:rsidR="00921D99"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dovrà eseguire l’Appalto con organizzazione di mezzi a proprio carico e gestione a proprio rischio, dotandosi di tutti i mezzi strumentali e delle risorse umane necessarie per il diligente espletamento </w:t>
      </w:r>
      <w:r w:rsidRPr="00921D99">
        <w:rPr>
          <w:rFonts w:eastAsia="Times New Roman" w:cstheme="minorHAnsi"/>
          <w:lang w:eastAsia="it-IT"/>
        </w:rPr>
        <w:lastRenderedPageBreak/>
        <w:t>delle prestazioni che siano richieste o semplicemente necessarie rispetto alle previsioni del presente Contratto.</w:t>
      </w:r>
    </w:p>
    <w:p w14:paraId="2C6C87FB" w14:textId="6E786864"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866A94">
        <w:rPr>
          <w:rFonts w:eastAsia="Times New Roman" w:cstheme="minorHAnsi"/>
          <w:lang w:eastAsia="it-IT"/>
        </w:rPr>
        <w:t xml:space="preserve"> Servizio</w:t>
      </w:r>
      <w:r w:rsidRPr="00921D99">
        <w:rPr>
          <w:rFonts w:eastAsia="Times New Roman" w:cstheme="minorHAnsi"/>
          <w:lang w:eastAsia="it-IT"/>
        </w:rPr>
        <w:t>, una quota pari ad almeno il 30% delle assunzioni necessarie per l’esecuzione del Contratto o per la realizzazione di attività ad esso connesse o strumentali, destinata sia all’occupazione giovanile sia all’occupazione femminile.</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9" w:name="_Hlk108992580"/>
      <w:r w:rsidRPr="00921D99">
        <w:rPr>
          <w:rFonts w:eastAsia="Times New Roman" w:cstheme="minorHAnsi"/>
          <w:lang w:eastAsia="it-IT"/>
        </w:rPr>
        <w:t xml:space="preserve">convertito, con modificazioni, dalla legge n. 108/2021, </w:t>
      </w:r>
      <w:bookmarkEnd w:id="9"/>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46693FE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866A94">
        <w:rPr>
          <w:rFonts w:eastAsia="Times New Roman" w:cstheme="minorHAnsi"/>
          <w:lang w:eastAsia="it-IT"/>
        </w:rPr>
        <w:t>Amministrazione Trasparente</w:t>
      </w:r>
      <w:r w:rsidRPr="00921D99">
        <w:rPr>
          <w:rFonts w:eastAsia="Times New Roman" w:cstheme="minorHAnsi"/>
          <w:lang w:eastAsia="it-IT"/>
        </w:rPr>
        <w:t>”, ai sensi dell’art. 29, comma 1, del d.lgs. n. 50/2016 e dell’art. 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0"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1" w:name="_Hlk129227767"/>
      <w:bookmarkEnd w:id="10"/>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r w:rsidRPr="00921D99">
        <w:rPr>
          <w:rFonts w:eastAsia="Times New Roman" w:cstheme="minorHAnsi"/>
          <w:i/>
          <w:iCs/>
          <w:lang w:eastAsia="ar-SA"/>
        </w:rPr>
        <w:t>milestones</w:t>
      </w:r>
      <w:r w:rsidRPr="00921D99">
        <w:rPr>
          <w:rFonts w:eastAsia="Times New Roman" w:cstheme="minorHAnsi"/>
          <w:lang w:eastAsia="ar-SA"/>
        </w:rPr>
        <w:t xml:space="preserve"> previsti nel Piano medesimo.</w:t>
      </w:r>
      <w:bookmarkStart w:id="12" w:name="_Hlk129227831"/>
      <w:bookmarkEnd w:id="11"/>
    </w:p>
    <w:p w14:paraId="4BE39990" w14:textId="4FFF2CF2"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Nello specifico, il </w:t>
      </w:r>
      <w:r w:rsidRPr="00921D99">
        <w:rPr>
          <w:rFonts w:eastAsia="Times New Roman" w:cstheme="minorHAnsi"/>
          <w:i/>
          <w:iCs/>
          <w:lang w:eastAsia="ar-SA"/>
        </w:rPr>
        <w:t xml:space="preserve">target </w:t>
      </w:r>
      <w:r w:rsidRPr="00921D99">
        <w:rPr>
          <w:rFonts w:eastAsia="Times New Roman" w:cstheme="minorHAnsi"/>
          <w:lang w:eastAsia="ar-SA"/>
        </w:rPr>
        <w:t xml:space="preserve">della linea di investimento è costituito dal numero di classi trasformate in ambienti di apprendimento innovativi. Entro la fine del 2025 il Ministero dell’istruzione e del merito dovrà fornire la dimostrazione sul raggiungimento del valore minimo di 100.000 ambienti trasformati alla Commissione europea per l’azione 1 – </w:t>
      </w:r>
      <w:r w:rsidRPr="00921D99">
        <w:rPr>
          <w:rFonts w:eastAsia="Times New Roman" w:cstheme="minorHAnsi"/>
          <w:i/>
          <w:iCs/>
          <w:lang w:eastAsia="ar-SA"/>
        </w:rPr>
        <w:t xml:space="preserve">Next generation </w:t>
      </w:r>
      <w:proofErr w:type="spellStart"/>
      <w:r w:rsidRPr="00921D99">
        <w:rPr>
          <w:rFonts w:eastAsia="Times New Roman" w:cstheme="minorHAnsi"/>
          <w:i/>
          <w:iCs/>
          <w:lang w:eastAsia="ar-SA"/>
        </w:rPr>
        <w:t>classroom</w:t>
      </w:r>
      <w:proofErr w:type="spellEnd"/>
      <w:r w:rsidRPr="00921D99">
        <w:rPr>
          <w:rFonts w:eastAsia="Times New Roman" w:cstheme="minorHAnsi"/>
          <w:lang w:eastAsia="ar-SA"/>
        </w:rPr>
        <w:t xml:space="preserve">, che per ciascuna scuola finanziata è stabilito in almeno la metà delle classi, sulla base del parametro del decreto ministeriale di riparto n. 218 del 2022. </w:t>
      </w:r>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bookmarkStart w:id="13" w:name="_Hlk129227923"/>
      <w:bookmarkEnd w:id="12"/>
      <w:r w:rsidRPr="00921D99">
        <w:rPr>
          <w:rFonts w:eastAsia="Times New Roman" w:cstheme="minorHAnsi"/>
          <w:lang w:eastAsia="ar-SA"/>
        </w:rPr>
        <w:lastRenderedPageBreak/>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5230EFEE"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r w:rsidRPr="00921D99">
        <w:rPr>
          <w:rFonts w:eastAsia="Times New Roman" w:cstheme="minorHAnsi"/>
          <w:i/>
          <w:iCs/>
          <w:lang w:eastAsia="ar-SA"/>
        </w:rPr>
        <w:t>milestones</w:t>
      </w:r>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w:t>
      </w:r>
      <w:r w:rsidR="00866A94">
        <w:rPr>
          <w:rFonts w:eastAsia="Times New Roman" w:cstheme="minorHAnsi"/>
          <w:lang w:eastAsia="ar-SA"/>
        </w:rPr>
        <w:t xml:space="preserve"> Servizio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3"/>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xml:space="preserve">»),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w:t>
      </w:r>
      <w:proofErr w:type="gramStart"/>
      <w:r w:rsidRPr="00921D99">
        <w:rPr>
          <w:rFonts w:eastAsia="Times New Roman" w:cstheme="minorHAnsi"/>
          <w:lang w:eastAsia="ar-SA"/>
        </w:rPr>
        <w:t>10</w:t>
      </w:r>
      <w:proofErr w:type="gramEnd"/>
      <w:r w:rsidRPr="00921D99">
        <w:rPr>
          <w:rFonts w:eastAsia="Times New Roman" w:cstheme="minorHAnsi"/>
          <w:lang w:eastAsia="ar-SA"/>
        </w:rPr>
        <w:t xml:space="preserve">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921D99">
        <w:rPr>
          <w:rFonts w:eastAsia="Times New Roman" w:cstheme="minorHAnsi"/>
          <w:i/>
          <w:iCs/>
        </w:rPr>
        <w:t>milestones</w:t>
      </w:r>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r w:rsidRPr="00921D99">
        <w:rPr>
          <w:rFonts w:eastAsia="Times New Roman" w:cstheme="minorHAnsi"/>
          <w:i/>
          <w:iCs/>
          <w:lang w:eastAsia="it-IT"/>
        </w:rPr>
        <w:t xml:space="preserve">outputs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4" w:name="_Hlk139129779"/>
      <w:r w:rsidRPr="00921D99">
        <w:rPr>
          <w:rFonts w:eastAsia="Times New Roman" w:cstheme="minorHAnsi"/>
        </w:rPr>
        <w:t>– Componente 1 – Investimento 3.2</w:t>
      </w:r>
      <w:bookmarkEnd w:id="14"/>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 xml:space="preserve">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w:t>
      </w:r>
      <w:r w:rsidRPr="00921D99">
        <w:rPr>
          <w:rFonts w:eastAsia="Times New Roman" w:cstheme="minorHAnsi"/>
        </w:rPr>
        <w:lastRenderedPageBreak/>
        <w:t>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49F06D7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Il corrispettivo per </w:t>
      </w:r>
      <w:r w:rsidR="00866A94">
        <w:rPr>
          <w:rFonts w:eastAsia="Times New Roman" w:cstheme="minorHAnsi"/>
          <w:bCs/>
          <w:lang w:eastAsia="it-IT"/>
        </w:rPr>
        <w:t xml:space="preserve">il Servizio </w:t>
      </w:r>
      <w:r w:rsidRPr="00921D99">
        <w:rPr>
          <w:rFonts w:eastAsia="Times New Roman" w:cstheme="minorHAnsi"/>
          <w:bCs/>
          <w:lang w:eastAsia="it-IT"/>
        </w:rPr>
        <w:t xml:space="preserve">è complessivamente pari ad € </w:t>
      </w:r>
      <w:r w:rsidR="006831F2">
        <w:rPr>
          <w:rFonts w:eastAsia="Times New Roman" w:cstheme="minorHAnsi"/>
          <w:bCs/>
          <w:lang w:eastAsia="it-IT"/>
        </w:rPr>
        <w:t>21000</w:t>
      </w:r>
      <w:r w:rsidRPr="00921D99">
        <w:rPr>
          <w:rFonts w:eastAsia="Times New Roman" w:cstheme="minorHAnsi"/>
          <w:bCs/>
          <w:lang w:eastAsia="it-IT"/>
        </w:rPr>
        <w:t xml:space="preserve"> (euro</w:t>
      </w:r>
      <w:r w:rsidR="006831F2">
        <w:rPr>
          <w:rFonts w:eastAsia="Times New Roman" w:cstheme="minorHAnsi"/>
          <w:bCs/>
          <w:lang w:eastAsia="it-IT"/>
        </w:rPr>
        <w:t xml:space="preserve"> ventunomila/00),</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587953E1"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Tale corrispettivo dovrà intendersi comprensivo e remunerativo di tutte le prestazioni e obblighi previsti nel presente Contratto e in ogni altro atto afferente al</w:t>
      </w:r>
      <w:r w:rsidR="00866A94">
        <w:rPr>
          <w:rFonts w:eastAsia="Times New Roman" w:cstheme="minorHAnsi"/>
          <w:bCs/>
          <w:lang w:eastAsia="it-IT"/>
        </w:rPr>
        <w:t xml:space="preserve"> Servizio</w:t>
      </w:r>
      <w:r w:rsidRPr="00921D99">
        <w:rPr>
          <w:rFonts w:eastAsia="Times New Roman" w:cstheme="minorHAnsi"/>
          <w:bCs/>
          <w:lang w:eastAsia="it-IT"/>
        </w:rPr>
        <w:t xml:space="preserve">. </w:t>
      </w:r>
    </w:p>
    <w:p w14:paraId="52273635" w14:textId="08AAA61A"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w:t>
      </w:r>
      <w:r w:rsidR="00866A94">
        <w:rPr>
          <w:rFonts w:eastAsia="Times New Roman" w:cstheme="minorHAnsi"/>
          <w:lang w:eastAsia="it-IT"/>
        </w:rPr>
        <w:t xml:space="preserve">il Servizio </w:t>
      </w:r>
      <w:r w:rsidRPr="00921D99">
        <w:rPr>
          <w:rFonts w:eastAsia="Times New Roman" w:cstheme="minorHAnsi"/>
          <w:lang w:eastAsia="it-IT"/>
        </w:rPr>
        <w:t xml:space="preserve">svolto come risultante dal Preventivo Economico formulato dall’Affidatario, sarà remunerato </w:t>
      </w:r>
      <w:r w:rsidR="00866A94">
        <w:rPr>
          <w:rFonts w:eastAsia="Times New Roman" w:cstheme="minorHAnsi"/>
          <w:lang w:eastAsia="it-IT"/>
        </w:rPr>
        <w:t>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748068C3"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866A94">
        <w:rPr>
          <w:rFonts w:eastAsia="Times New Roman" w:cstheme="minorHAnsi"/>
          <w:lang w:eastAsia="it-IT"/>
        </w:rPr>
        <w:t xml:space="preserve"> mediante sopralluogo di verifica corretta esecuzione lavori</w:t>
      </w:r>
      <w:r w:rsidRPr="00921D99">
        <w:rPr>
          <w:rFonts w:eastAsia="Times New Roman" w:cstheme="minorHAnsi"/>
          <w:lang w:eastAsia="it-IT"/>
        </w:rPr>
        <w:t>.</w:t>
      </w:r>
    </w:p>
    <w:p w14:paraId="493043CF" w14:textId="19044AB6"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avverrà a seguito del ricevimento della fattura elettronica secondo quanto disposto dalla normativa vigente in tema di “split payment”, usando il codice univoco di fatturazione elettronica</w:t>
      </w:r>
      <w:r w:rsidR="00866A94">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dedicato, anche in via non esclusiva, alle commesse pubbliche 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35C2C129" w14:textId="43560D76" w:rsidR="00921D99" w:rsidRPr="006831F2" w:rsidRDefault="00921D99" w:rsidP="006831F2">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6831F2">
        <w:rPr>
          <w:rFonts w:eastAsia="Times New Roman" w:cstheme="minorHAnsi"/>
          <w:lang w:eastAsia="it-IT"/>
        </w:rPr>
        <w:t xml:space="preserve"> servizio di tinteggiatura di modesta quantità che non comporta rischi per l’utenza.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 xml:space="preserve">dovrà adempiere secondo buona fede, diligenza e a regola d’arte a tutte le obbligazioni assunte con il presente Contratto, in base ai principi di cui al </w:t>
      </w:r>
      <w:proofErr w:type="gramStart"/>
      <w:r w:rsidRPr="00921D99">
        <w:rPr>
          <w:rFonts w:eastAsia="Times New Roman" w:cstheme="minorHAnsi"/>
          <w:lang w:eastAsia="it-IT"/>
        </w:rPr>
        <w:t>codice civile</w:t>
      </w:r>
      <w:proofErr w:type="gramEnd"/>
      <w:r w:rsidRPr="00921D99">
        <w:rPr>
          <w:rFonts w:eastAsia="Times New Roman" w:cstheme="minorHAnsi"/>
          <w:lang w:eastAsia="it-IT"/>
        </w:rPr>
        <w:t xml:space="preserv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assume la responsabilità per danni diretti e/o indiretti, patrimoniali e </w:t>
      </w:r>
      <w:proofErr w:type="gramStart"/>
      <w:r w:rsidRPr="00921D99">
        <w:rPr>
          <w:rFonts w:eastAsia="Times New Roman" w:cstheme="minorHAnsi"/>
          <w:lang w:eastAsia="it-IT"/>
        </w:rPr>
        <w:t>non</w:t>
      </w:r>
      <w:proofErr w:type="gramEnd"/>
      <w:r w:rsidRPr="00921D99">
        <w:rPr>
          <w:rFonts w:eastAsia="Times New Roman" w:cstheme="minorHAnsi"/>
          <w:lang w:eastAsia="it-IT"/>
        </w:rPr>
        <w:t>, subiti dall’Istituto e/o altri soggetti terzi pubblici o privati che trovino causa o occasione nelle prestazioni contrattuali, e/o nella mancata o ritardata esecuzione a regola d’arte delle stesse.</w:t>
      </w:r>
    </w:p>
    <w:p w14:paraId="26B0FEEE" w14:textId="0698DA42"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ono a carico dell’Affidatario tutte le misure, comprese le opere provvisionali, e tutti gli adempimenti volti a evitare il verificarsi di danni alle opere, all’ambiente, alle persone e alle cose nell’esecuzione del</w:t>
      </w:r>
      <w:r w:rsidR="00866A94">
        <w:rPr>
          <w:rFonts w:eastAsia="Times New Roman" w:cstheme="minorHAnsi"/>
          <w:lang w:eastAsia="it-IT"/>
        </w:rPr>
        <w:t xml:space="preserve"> Servizio</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1D73D86E"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garanzia sarà progressivamente svincolata con il progredire dell’avanzamento del</w:t>
      </w:r>
      <w:r w:rsidR="00866A94">
        <w:rPr>
          <w:rFonts w:eastAsia="Times New Roman" w:cstheme="minorHAnsi"/>
          <w:lang w:eastAsia="it-IT"/>
        </w:rPr>
        <w:t xml:space="preserve"> Servizio</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2C4E115C"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L’Affidatario assume la responsabilità civile e amministrativa della gestione de</w:t>
      </w:r>
      <w:r w:rsidR="00866A94">
        <w:rPr>
          <w:rFonts w:eastAsia="Times New Roman" w:cstheme="minorHAnsi"/>
          <w:color w:val="000000"/>
          <w:lang w:eastAsia="it-IT"/>
        </w:rPr>
        <w:t>l Servizio</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5" w:name="_Toc409446466"/>
      <w:bookmarkStart w:id="16"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17" w:name="(Tempi_e_modi_della_verifica_di_conformi"/>
      <w:bookmarkEnd w:id="17"/>
      <w:r w:rsidRPr="00921D99">
        <w:rPr>
          <w:rFonts w:eastAsia="Times New Roman" w:cstheme="minorHAnsi"/>
          <w:b/>
          <w:i/>
          <w:iCs/>
          <w:lang w:eastAsia="it-IT"/>
        </w:rPr>
        <w:t>e prestazioni)</w:t>
      </w:r>
      <w:bookmarkEnd w:id="15"/>
      <w:bookmarkEnd w:id="16"/>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18" w:name="_Toc228363080"/>
      <w:bookmarkEnd w:id="8"/>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19" w:name="_Toc273540984"/>
      <w:bookmarkStart w:id="20"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19"/>
      <w:bookmarkEnd w:id="20"/>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lastRenderedPageBreak/>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DB566B9" w:rsidR="00921D99" w:rsidRPr="00921D99" w:rsidRDefault="00921D99" w:rsidP="00866A94">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w:t>
      </w:r>
      <w:r w:rsidRPr="00921D99">
        <w:rPr>
          <w:rFonts w:eastAsia="Calibri" w:cstheme="minorHAnsi"/>
          <w:bCs/>
          <w:lang w:eastAsia="it-IT"/>
        </w:rPr>
        <w:lastRenderedPageBreak/>
        <w:t>l’adeguamento del Contratto all’equilibrio originario, salva la responsabilità per la violazione dell’obbligo di rinegoziazione.</w:t>
      </w:r>
    </w:p>
    <w:p w14:paraId="74F52BC0" w14:textId="6109E89D"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per un importo pari a €</w:t>
      </w:r>
      <w:r w:rsidR="006831F2">
        <w:rPr>
          <w:rFonts w:eastAsia="Times New Roman" w:cstheme="minorHAnsi"/>
          <w:color w:val="000000" w:themeColor="text1"/>
          <w:lang w:eastAsia="it-IT"/>
        </w:rPr>
        <w:t xml:space="preserve"> 4200</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1AA8E515"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866A94">
        <w:rPr>
          <w:rFonts w:cstheme="minorHAnsi"/>
        </w:rPr>
        <w:t xml:space="preserve"> 100</w:t>
      </w:r>
      <w:r w:rsidRPr="00921D99">
        <w:rPr>
          <w:rFonts w:cstheme="minorHAnsi"/>
        </w:rPr>
        <w:t xml:space="preserve"> (euro </w:t>
      </w:r>
      <w:r w:rsidR="00866A94">
        <w:rPr>
          <w:rFonts w:cstheme="minorHAnsi"/>
        </w:rPr>
        <w:t>cento</w:t>
      </w:r>
      <w:r w:rsidRPr="00921D99">
        <w:rPr>
          <w:rFonts w:cstheme="minorHAnsi"/>
        </w:rPr>
        <w:t xml:space="preserve">/00), per ogni giorno di ritardo nella realizzazione del progetto; </w:t>
      </w:r>
    </w:p>
    <w:p w14:paraId="10F40035" w14:textId="14C970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00056011" w:rsidRPr="00056011">
        <w:rPr>
          <w:rFonts w:eastAsia="Verdana" w:cstheme="minorHAnsi"/>
        </w:rPr>
        <w:t xml:space="preserve">a </w:t>
      </w:r>
      <w:r w:rsidRPr="00056011">
        <w:rPr>
          <w:rFonts w:eastAsia="Verdana" w:cstheme="minorHAnsi"/>
        </w:rPr>
        <w:t>0,3 (0/tre) per mille dell’importo netto del Contratto per</w:t>
      </w:r>
      <w:r w:rsidRPr="00921D99">
        <w:rPr>
          <w:rFonts w:cstheme="minorHAnsi"/>
        </w:rPr>
        <w:t xml:space="preserve"> 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324E49AA"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w:t>
      </w:r>
      <w:r w:rsidRPr="00921D99">
        <w:rPr>
          <w:rFonts w:eastAsia="Verdana" w:cstheme="minorHAnsi"/>
        </w:rPr>
        <w:lastRenderedPageBreak/>
        <w:t xml:space="preserve">realizzazione di attività ad esso connesse o strumentali, all’occupazione giovanile e femminile, verrà applicata una penale pari </w:t>
      </w:r>
      <w:r w:rsidR="00056011">
        <w:rPr>
          <w:rFonts w:eastAsia="Verdana" w:cstheme="minorHAnsi"/>
        </w:rPr>
        <w:t xml:space="preserve">a </w:t>
      </w:r>
      <w:r w:rsidRPr="00056011">
        <w:rPr>
          <w:rFonts w:eastAsia="Verdana" w:cstheme="minorHAnsi"/>
        </w:rPr>
        <w:t>0,3 (0/tre) per mille dell’importo netto del Contratto</w:t>
      </w:r>
      <w:r w:rsidRPr="00921D99">
        <w:rPr>
          <w:rFonts w:eastAsia="Verdana" w:cstheme="minorHAnsi"/>
        </w:rPr>
        <w:t xml:space="preserve">; </w:t>
      </w:r>
    </w:p>
    <w:p w14:paraId="795FFFE4" w14:textId="0AF59E79" w:rsidR="00921D99" w:rsidRPr="00056011" w:rsidRDefault="00921D99" w:rsidP="00BA236D">
      <w:pPr>
        <w:numPr>
          <w:ilvl w:val="0"/>
          <w:numId w:val="28"/>
        </w:numPr>
        <w:spacing w:before="120" w:after="120" w:line="240" w:lineRule="auto"/>
        <w:ind w:left="851" w:hanging="357"/>
        <w:jc w:val="both"/>
        <w:rPr>
          <w:rFonts w:eastAsia="Verdana" w:cstheme="minorHAnsi"/>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Pr>
          <w:rFonts w:eastAsia="Verdana" w:cstheme="minorHAnsi"/>
        </w:rPr>
        <w:t xml:space="preserve"> a </w:t>
      </w:r>
      <w:r w:rsidRPr="00056011">
        <w:rPr>
          <w:rFonts w:eastAsia="Verdana" w:cstheme="minorHAnsi"/>
        </w:rPr>
        <w:t>0,3 (0/tre) per mille dell’importo netto del Contratto</w:t>
      </w:r>
      <w:r w:rsidRPr="00921D99">
        <w:rPr>
          <w:rFonts w:eastAsia="Verdana" w:cstheme="minorHAnsi"/>
        </w:rPr>
        <w:t xml:space="preserve">; </w:t>
      </w:r>
    </w:p>
    <w:p w14:paraId="665D6FDC" w14:textId="35A1E714" w:rsidR="00921D99" w:rsidRPr="00921D99" w:rsidRDefault="00921D99" w:rsidP="00BA236D">
      <w:pPr>
        <w:numPr>
          <w:ilvl w:val="0"/>
          <w:numId w:val="28"/>
        </w:numPr>
        <w:spacing w:before="120" w:after="120" w:line="240" w:lineRule="auto"/>
        <w:ind w:left="851" w:hanging="357"/>
        <w:jc w:val="both"/>
        <w:rPr>
          <w:rFonts w:eastAsia="Verdana" w:cstheme="minorHAnsi"/>
          <w:i/>
          <w:iCs/>
        </w:rPr>
      </w:pPr>
      <w:bookmarkStart w:id="21" w:name="_Hlk128064898"/>
      <w:r w:rsidRPr="00921D99">
        <w:rPr>
          <w:rFonts w:cstheme="minorHAnsi"/>
        </w:rPr>
        <w:t xml:space="preserve">€ </w:t>
      </w:r>
      <w:r w:rsidR="00866A94">
        <w:rPr>
          <w:rFonts w:cstheme="minorHAnsi"/>
        </w:rPr>
        <w:t>100</w:t>
      </w:r>
      <w:r w:rsidRPr="00921D99">
        <w:rPr>
          <w:rFonts w:cstheme="minorHAnsi"/>
        </w:rPr>
        <w:t xml:space="preserve"> (euro</w:t>
      </w:r>
      <w:r w:rsidR="00866A94">
        <w:rPr>
          <w:rFonts w:cstheme="minorHAnsi"/>
        </w:rPr>
        <w:t xml:space="preserve"> 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921D99">
        <w:rPr>
          <w:rFonts w:cstheme="minorHAnsi"/>
          <w:i/>
          <w:iCs/>
        </w:rPr>
        <w:t>milestones</w:t>
      </w:r>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1"/>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lastRenderedPageBreak/>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1829CA2C"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w:t>
      </w:r>
      <w:r w:rsidR="00866A94">
        <w:rPr>
          <w:rFonts w:eastAsia="Times New Roman" w:cstheme="minorHAnsi"/>
          <w:spacing w:val="-1"/>
          <w:lang w:eastAsia="it-IT" w:bidi="it-IT"/>
        </w:rPr>
        <w:t xml:space="preserve">il Servizio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794EB000"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866A94">
        <w:rPr>
          <w:rFonts w:eastAsia="Times New Roman" w:cstheme="minorHAnsi"/>
          <w:lang w:eastAsia="it-IT"/>
        </w:rPr>
        <w:t xml:space="preserve"> portare a conclusione il lavoro in svolgimento, pur lasciando il lavoro complessivo parzialmente svolto </w:t>
      </w:r>
      <w:r w:rsidRPr="00921D99">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0446640D"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27A564E9"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industria, artigianato e agricoltura per attività coerenti con quelle oggetto del</w:t>
      </w:r>
      <w:r w:rsidR="00866A94">
        <w:rPr>
          <w:rFonts w:eastAsia="Times" w:cstheme="minorHAnsi"/>
          <w:color w:val="000000"/>
        </w:rPr>
        <w:t xml:space="preserve"> Servizio</w:t>
      </w:r>
      <w:r w:rsidRPr="00921D99">
        <w:rPr>
          <w:rFonts w:cstheme="minorHAnsi"/>
        </w:rPr>
        <w:t xml:space="preserve">; (iii) perdita di una o più delle autorizzazioni, licenze e certificazioni, comunque denominate, per l’espletamento di tutte le attività che compongono </w:t>
      </w:r>
      <w:r w:rsidR="00866A94">
        <w:rPr>
          <w:rFonts w:cstheme="minorHAnsi"/>
        </w:rPr>
        <w:t>il Servizio</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2" w:name="_Hlk43107031"/>
      <w:r w:rsidRPr="00921D99">
        <w:rPr>
          <w:rFonts w:cstheme="minorHAnsi"/>
        </w:rPr>
        <w:t>violazione degli obblighi di tracciabilità dei flussi finanziari di cui agli artt. 14 del presente Contratto;</w:t>
      </w:r>
    </w:p>
    <w:bookmarkEnd w:id="22"/>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 xml:space="preserve">a utilizzare i suddetti conti correnti dedicati anche per i pagamenti destinati a dipendenti, consulenti e fornitori di beni e servizi rientranti tra le spese generali, nonché per quelli destinati alla provvista di </w:t>
      </w:r>
      <w:r w:rsidRPr="00921D99">
        <w:rPr>
          <w:rFonts w:eastAsia="Times New Roman" w:cstheme="minorHAnsi"/>
          <w:lang w:eastAsia="it-IT"/>
        </w:rPr>
        <w:lastRenderedPageBreak/>
        <w:t>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15100974"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osserva e osserverà per l’intera durata del</w:t>
      </w:r>
      <w:r w:rsidR="00866A94">
        <w:rPr>
          <w:rFonts w:eastAsia="Times New Roman" w:cstheme="minorHAnsi"/>
          <w:lang w:eastAsia="it-IT"/>
        </w:rPr>
        <w:t xml:space="preserve"> Servizio</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lastRenderedPageBreak/>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2B3F65F"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056011">
        <w:rPr>
          <w:rFonts w:eastAsia="Times New Roman" w:cstheme="minorHAnsi"/>
          <w:lang w:eastAsia="ar-SA"/>
        </w:rPr>
        <w:t>prof. Franco Tornaghi</w:t>
      </w:r>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6CBBA1E9"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Dott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07429620"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Pr>
          <w:rFonts w:eastAsia="Times New Roman" w:cstheme="minorHAnsi"/>
          <w:lang w:eastAsia="ar-SA"/>
        </w:rPr>
        <w:t xml:space="preserve"> Don G. Calabria 2 Milano</w:t>
      </w:r>
      <w:r w:rsidRPr="00921D99">
        <w:rPr>
          <w:rFonts w:eastAsia="Times New Roman" w:cstheme="minorHAnsi"/>
          <w:lang w:eastAsia="ar-SA"/>
        </w:rPr>
        <w:t xml:space="preserve"> </w:t>
      </w:r>
    </w:p>
    <w:p w14:paraId="2085F037"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Pr>
          <w:rFonts w:eastAsia="Times New Roman" w:cstheme="minorHAnsi"/>
          <w:i/>
          <w:lang w:eastAsia="ar-SA"/>
        </w:rPr>
        <w:t xml:space="preserve"> dirigente@maxwell.mi.it</w:t>
      </w:r>
      <w:r w:rsidRPr="00921D99">
        <w:rPr>
          <w:rFonts w:eastAsia="Times New Roman" w:cstheme="minorHAnsi"/>
          <w:lang w:eastAsia="ar-SA"/>
        </w:rPr>
        <w:t xml:space="preserve"> </w:t>
      </w:r>
    </w:p>
    <w:p w14:paraId="4D5D365C"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Pr>
          <w:rFonts w:eastAsia="Times New Roman" w:cstheme="minorHAnsi"/>
          <w:lang w:eastAsia="ar-SA"/>
        </w:rPr>
        <w:t xml:space="preserve"> </w:t>
      </w:r>
      <w:r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 xml:space="preserve">Sono a totale ed esclusivo carico dell’Affidatario le spese per la stipulazione del presente Contratto e ogni relativo onere fiscale correlato, ivi comprese le spese di bollo e di copie ed escluse soltanto le tasse e imposte, </w:t>
      </w:r>
      <w:r w:rsidRPr="00921D99">
        <w:rPr>
          <w:rFonts w:eastAsia="Times New Roman" w:cstheme="minorHAnsi"/>
          <w:lang w:eastAsia="ar-SA"/>
        </w:rPr>
        <w:lastRenderedPageBreak/>
        <w:t>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5C2867C7"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056011">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7EC6D990" w14:textId="2D955762" w:rsidR="006F505D"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3" w:name="_Hlk133947619"/>
      <w:r w:rsidRPr="00921D99">
        <w:rPr>
          <w:rFonts w:eastAsia="Calibri" w:cstheme="minorHAnsi"/>
        </w:rPr>
        <w:t>Titolare del trattamento dei dati personali è l’Istituto</w:t>
      </w:r>
      <w:r>
        <w:rPr>
          <w:rFonts w:eastAsia="Calibri" w:cstheme="minorHAnsi"/>
        </w:rPr>
        <w:t>, legalmente rappresentato nella figura del Dirigente Scolastico pro-tempore prof. Franco Tornaghi</w:t>
      </w:r>
      <w:r w:rsidR="006F505D">
        <w:rPr>
          <w:rFonts w:eastAsia="Calibri" w:cstheme="minorHAnsi"/>
        </w:rPr>
        <w:t>.</w:t>
      </w:r>
      <w:r w:rsidRPr="00921D99">
        <w:rPr>
          <w:rFonts w:eastAsia="Calibri" w:cstheme="minorHAnsi"/>
        </w:rPr>
        <w:t xml:space="preserve"> </w:t>
      </w:r>
    </w:p>
    <w:p w14:paraId="60EDFB3D" w14:textId="7BA6A974"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w:t>
      </w:r>
      <w:r w:rsidR="00866A94">
        <w:rPr>
          <w:rFonts w:eastAsia="Calibri" w:cstheme="minorHAnsi"/>
        </w:rPr>
        <w:t xml:space="preserve"> il Servizio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lastRenderedPageBreak/>
        <w:t>Il Responsabile non può trasferire i dati personali verso un paese terzo o un’organizzazione internazionale salvo che non abbia preventivamente ottenuto l’autorizzazione scritta da parte del Titolare.</w:t>
      </w:r>
    </w:p>
    <w:bookmarkEnd w:id="23"/>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Per tutto quanto qui non espressamente previsto, si rimanda alle previsioni normative in tema di appalti pubblici, alle previsioni del </w:t>
      </w:r>
      <w:proofErr w:type="gramStart"/>
      <w:r w:rsidRPr="00921D99">
        <w:rPr>
          <w:rFonts w:eastAsia="Times New Roman" w:cstheme="minorHAnsi"/>
          <w:lang w:eastAsia="ar-SA"/>
        </w:rPr>
        <w:t>codice civile</w:t>
      </w:r>
      <w:proofErr w:type="gramEnd"/>
      <w:r w:rsidRPr="00921D99">
        <w:rPr>
          <w:rFonts w:eastAsia="Times New Roman" w:cstheme="minorHAnsi"/>
          <w:lang w:eastAsia="ar-SA"/>
        </w:rPr>
        <w:t xml:space="preserv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23FD0C84" w14:textId="77777777" w:rsidR="00921D99" w:rsidRPr="00921D99" w:rsidRDefault="00921D99" w:rsidP="00921D99">
      <w:pPr>
        <w:spacing w:before="120" w:after="120"/>
        <w:rPr>
          <w:rFonts w:cstheme="minorHAnsi"/>
        </w:rPr>
      </w:pPr>
      <w:r w:rsidRPr="00921D99">
        <w:rPr>
          <w:rFonts w:cstheme="minorHAnsi"/>
        </w:rPr>
        <w:t>Letto, confermato e sottoscritto.</w:t>
      </w:r>
    </w:p>
    <w:p w14:paraId="3DD5DCAD" w14:textId="7FADB7A2" w:rsidR="00921D99" w:rsidRPr="00921D99" w:rsidRDefault="006831F2" w:rsidP="00921D99">
      <w:pPr>
        <w:spacing w:before="120" w:after="120"/>
        <w:rPr>
          <w:rFonts w:cstheme="minorHAnsi"/>
        </w:rPr>
      </w:pPr>
      <w:r>
        <w:rPr>
          <w:rFonts w:cstheme="minorHAnsi"/>
        </w:rPr>
        <w:t>Milano</w:t>
      </w:r>
      <w:r w:rsidR="00921D99" w:rsidRPr="00921D99">
        <w:rPr>
          <w:rFonts w:cstheme="minorHAnsi"/>
        </w:rPr>
        <w:t xml:space="preserve">, lì </w:t>
      </w:r>
      <w:r>
        <w:rPr>
          <w:rFonts w:cstheme="minorHAnsi"/>
        </w:rPr>
        <w:t>26/09/2023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4"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4"/>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18"/>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Default="00921D99" w:rsidP="00921D99">
      <w:pPr>
        <w:tabs>
          <w:tab w:val="left" w:pos="6379"/>
        </w:tabs>
        <w:spacing w:before="120" w:after="120"/>
        <w:jc w:val="both"/>
        <w:rPr>
          <w:rFonts w:cstheme="minorHAnsi"/>
        </w:rPr>
      </w:pPr>
    </w:p>
    <w:p w14:paraId="2EF91099" w14:textId="77777777" w:rsidR="00866A94" w:rsidRDefault="00866A94" w:rsidP="00921D99">
      <w:pPr>
        <w:tabs>
          <w:tab w:val="left" w:pos="6379"/>
        </w:tabs>
        <w:spacing w:before="120" w:after="120"/>
        <w:jc w:val="both"/>
        <w:rPr>
          <w:rFonts w:cstheme="minorHAnsi"/>
        </w:rPr>
      </w:pPr>
    </w:p>
    <w:p w14:paraId="7585E420" w14:textId="77777777" w:rsidR="00866A94" w:rsidRDefault="00866A94" w:rsidP="00921D99">
      <w:pPr>
        <w:tabs>
          <w:tab w:val="left" w:pos="6379"/>
        </w:tabs>
        <w:spacing w:before="120" w:after="120"/>
        <w:jc w:val="both"/>
        <w:rPr>
          <w:rFonts w:cstheme="minorHAnsi"/>
        </w:rPr>
      </w:pPr>
    </w:p>
    <w:p w14:paraId="4CC121CC" w14:textId="77777777" w:rsidR="00866A94" w:rsidRPr="00921D99" w:rsidRDefault="00866A94" w:rsidP="00921D99">
      <w:pPr>
        <w:tabs>
          <w:tab w:val="left" w:pos="6379"/>
        </w:tabs>
        <w:spacing w:before="120" w:after="120"/>
        <w:jc w:val="both"/>
        <w:rPr>
          <w:rFonts w:cstheme="minorHAnsi"/>
        </w:rPr>
      </w:pPr>
    </w:p>
    <w:p w14:paraId="453F140C" w14:textId="77777777" w:rsidR="00921D99" w:rsidRP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5" w:name="_Hlk95927434"/>
      <w:r w:rsidRPr="00921D99">
        <w:rPr>
          <w:rFonts w:cstheme="minorHAnsi"/>
        </w:rPr>
        <w:t>l’Affidatario</w:t>
      </w:r>
      <w:bookmarkEnd w:id="25"/>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w:t>
      </w:r>
      <w:r w:rsidRPr="00921D99">
        <w:rPr>
          <w:rFonts w:cstheme="minorHAnsi"/>
          <w:i/>
        </w:rPr>
        <w:lastRenderedPageBreak/>
        <w:t>risolutive espresse), Art. 15 (Obblighi di tracciabilità dei flussi finanziari), Art. 16 (Lavoro e sicurezza), Art. 17 (Responsabili delle Parti e comunicazioni relative al Contratto), Art. 18 (Spese), Art. 19 (Foro competente), Art. 20 (</w:t>
      </w:r>
      <w:bookmarkStart w:id="26" w:name="_Hlk90573667"/>
      <w:r w:rsidRPr="00921D99">
        <w:rPr>
          <w:rFonts w:cstheme="minorHAnsi"/>
          <w:i/>
        </w:rPr>
        <w:t>Trattamento dei dati personali e riservatezza delle informazioni</w:t>
      </w:r>
      <w:bookmarkEnd w:id="26"/>
      <w:r w:rsidRPr="00921D99">
        <w:rPr>
          <w:rFonts w:cstheme="minorHAnsi"/>
          <w:i/>
        </w:rPr>
        <w:t>), Art. 21 (Varie).</w:t>
      </w:r>
    </w:p>
    <w:p w14:paraId="1FF0E674" w14:textId="3A2D9724" w:rsidR="00921D99" w:rsidRPr="00921D99" w:rsidRDefault="00921D99" w:rsidP="00921D99">
      <w:pPr>
        <w:spacing w:before="120" w:after="120"/>
        <w:rPr>
          <w:rFonts w:cstheme="minorHAnsi"/>
        </w:rPr>
      </w:pPr>
      <w:r w:rsidRPr="00921D99">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6831F2">
        <w:rPr>
          <w:rFonts w:cstheme="minorHAnsi"/>
        </w:rPr>
        <w:t>Milano</w:t>
      </w:r>
      <w:r w:rsidRPr="00921D99">
        <w:rPr>
          <w:rFonts w:cstheme="minorHAnsi"/>
        </w:rPr>
        <w:t>, lì</w:t>
      </w:r>
      <w:r w:rsidR="006831F2">
        <w:rPr>
          <w:rFonts w:cstheme="minorHAnsi"/>
        </w:rPr>
        <w:t xml:space="preserve"> 26/09/2023            </w:t>
      </w:r>
      <w:r w:rsidRPr="00921D99">
        <w:rPr>
          <w:rFonts w:cstheme="minorHAnsi"/>
          <w:i/>
          <w:iCs/>
        </w:rPr>
        <w:tab/>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180" w14:textId="77777777" w:rsidR="00BA236D" w:rsidRDefault="00BA236D" w:rsidP="00FD5D8F">
      <w:pPr>
        <w:spacing w:after="0" w:line="240" w:lineRule="auto"/>
      </w:pPr>
      <w:r>
        <w:separator/>
      </w:r>
    </w:p>
  </w:endnote>
  <w:endnote w:type="continuationSeparator" w:id="0">
    <w:p w14:paraId="76CD60B5" w14:textId="77777777" w:rsidR="00BA236D" w:rsidRDefault="00BA236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71635023"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Tecnico :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w:t>
                        </w:r>
                        <w:r w:rsidR="00C062F1">
                          <w:rPr>
                            <w:rFonts w:ascii="Eras Medium ITC" w:hAnsi="Eras Medium ITC"/>
                            <w:sz w:val="14"/>
                            <w:szCs w:val="14"/>
                          </w:rPr>
                          <w:t>FC</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C305" w14:textId="77777777" w:rsidR="00BA236D" w:rsidRDefault="00BA236D" w:rsidP="00FD5D8F">
      <w:pPr>
        <w:spacing w:after="0" w:line="240" w:lineRule="auto"/>
      </w:pPr>
      <w:r>
        <w:separator/>
      </w:r>
    </w:p>
  </w:footnote>
  <w:footnote w:type="continuationSeparator" w:id="0">
    <w:p w14:paraId="03BBF73E" w14:textId="77777777" w:rsidR="00BA236D" w:rsidRDefault="00BA236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“James Clerk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 xml:space="preserve">via Don G. Calabria, 2 - 20132 Milano   tel. 02282.5958/6328  –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795098329">
    <w:abstractNumId w:val="9"/>
  </w:num>
  <w:num w:numId="2" w16cid:durableId="1809785108">
    <w:abstractNumId w:val="27"/>
  </w:num>
  <w:num w:numId="3" w16cid:durableId="933590373">
    <w:abstractNumId w:val="20"/>
  </w:num>
  <w:num w:numId="4" w16cid:durableId="1954363720">
    <w:abstractNumId w:val="4"/>
  </w:num>
  <w:num w:numId="5" w16cid:durableId="111049632">
    <w:abstractNumId w:val="38"/>
  </w:num>
  <w:num w:numId="6" w16cid:durableId="1052656996">
    <w:abstractNumId w:val="32"/>
  </w:num>
  <w:num w:numId="7" w16cid:durableId="2013220968">
    <w:abstractNumId w:val="30"/>
  </w:num>
  <w:num w:numId="8" w16cid:durableId="928730880">
    <w:abstractNumId w:val="41"/>
  </w:num>
  <w:num w:numId="9" w16cid:durableId="516579911">
    <w:abstractNumId w:val="43"/>
  </w:num>
  <w:num w:numId="10" w16cid:durableId="519860043">
    <w:abstractNumId w:val="42"/>
  </w:num>
  <w:num w:numId="11" w16cid:durableId="917981336">
    <w:abstractNumId w:val="3"/>
  </w:num>
  <w:num w:numId="12" w16cid:durableId="496726001">
    <w:abstractNumId w:val="7"/>
  </w:num>
  <w:num w:numId="13" w16cid:durableId="1598757945">
    <w:abstractNumId w:val="2"/>
  </w:num>
  <w:num w:numId="14" w16cid:durableId="2061594017">
    <w:abstractNumId w:val="36"/>
  </w:num>
  <w:num w:numId="15" w16cid:durableId="1174222946">
    <w:abstractNumId w:val="22"/>
  </w:num>
  <w:num w:numId="16" w16cid:durableId="2001036279">
    <w:abstractNumId w:val="25"/>
  </w:num>
  <w:num w:numId="17" w16cid:durableId="1509058421">
    <w:abstractNumId w:val="6"/>
  </w:num>
  <w:num w:numId="18" w16cid:durableId="1724788980">
    <w:abstractNumId w:val="1"/>
  </w:num>
  <w:num w:numId="19" w16cid:durableId="1057362995">
    <w:abstractNumId w:val="13"/>
  </w:num>
  <w:num w:numId="20" w16cid:durableId="1651787858">
    <w:abstractNumId w:val="19"/>
  </w:num>
  <w:num w:numId="21" w16cid:durableId="1608660304">
    <w:abstractNumId w:val="35"/>
  </w:num>
  <w:num w:numId="22" w16cid:durableId="1016922328">
    <w:abstractNumId w:val="24"/>
  </w:num>
  <w:num w:numId="23" w16cid:durableId="1434394292">
    <w:abstractNumId w:val="8"/>
  </w:num>
  <w:num w:numId="24" w16cid:durableId="165705455">
    <w:abstractNumId w:val="11"/>
  </w:num>
  <w:num w:numId="25" w16cid:durableId="1332879449">
    <w:abstractNumId w:val="40"/>
  </w:num>
  <w:num w:numId="26" w16cid:durableId="986324114">
    <w:abstractNumId w:val="12"/>
  </w:num>
  <w:num w:numId="27" w16cid:durableId="260726292">
    <w:abstractNumId w:val="29"/>
  </w:num>
  <w:num w:numId="28" w16cid:durableId="1510366064">
    <w:abstractNumId w:val="37"/>
  </w:num>
  <w:num w:numId="29" w16cid:durableId="94057017">
    <w:abstractNumId w:val="39"/>
  </w:num>
  <w:num w:numId="30" w16cid:durableId="82265437">
    <w:abstractNumId w:val="33"/>
  </w:num>
  <w:num w:numId="31" w16cid:durableId="406464178">
    <w:abstractNumId w:val="18"/>
  </w:num>
  <w:num w:numId="32" w16cid:durableId="1438410133">
    <w:abstractNumId w:val="16"/>
  </w:num>
  <w:num w:numId="33" w16cid:durableId="289363429">
    <w:abstractNumId w:val="21"/>
  </w:num>
  <w:num w:numId="34" w16cid:durableId="173568153">
    <w:abstractNumId w:val="28"/>
  </w:num>
  <w:num w:numId="35" w16cid:durableId="303631141">
    <w:abstractNumId w:val="23"/>
  </w:num>
  <w:num w:numId="36" w16cid:durableId="299464669">
    <w:abstractNumId w:val="34"/>
  </w:num>
  <w:num w:numId="37" w16cid:durableId="1407528854">
    <w:abstractNumId w:val="0"/>
  </w:num>
  <w:num w:numId="38" w16cid:durableId="611939238">
    <w:abstractNumId w:val="17"/>
  </w:num>
  <w:num w:numId="39" w16cid:durableId="1378167709">
    <w:abstractNumId w:val="15"/>
  </w:num>
  <w:num w:numId="40" w16cid:durableId="570774969">
    <w:abstractNumId w:val="44"/>
  </w:num>
  <w:num w:numId="41" w16cid:durableId="2000384432">
    <w:abstractNumId w:val="14"/>
  </w:num>
  <w:num w:numId="42" w16cid:durableId="2101412300">
    <w:abstractNumId w:val="31"/>
  </w:num>
  <w:num w:numId="43" w16cid:durableId="459227885">
    <w:abstractNumId w:val="10"/>
  </w:num>
  <w:num w:numId="44" w16cid:durableId="1428381134">
    <w:abstractNumId w:val="5"/>
  </w:num>
  <w:num w:numId="45" w16cid:durableId="19635770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831F2"/>
    <w:rsid w:val="00695E48"/>
    <w:rsid w:val="006A7C9B"/>
    <w:rsid w:val="006E262A"/>
    <w:rsid w:val="006F505D"/>
    <w:rsid w:val="0072592D"/>
    <w:rsid w:val="00730AF3"/>
    <w:rsid w:val="00743706"/>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66A94"/>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B6CF4"/>
    <w:rsid w:val="00AC5FBC"/>
    <w:rsid w:val="00AD638F"/>
    <w:rsid w:val="00AE7577"/>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062F1"/>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879A-2C9A-4F92-AC7D-10169460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6683</Words>
  <Characters>38099</Characters>
  <Application>Microsoft Office Word</Application>
  <DocSecurity>0</DocSecurity>
  <Lines>317</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7</cp:revision>
  <cp:lastPrinted>2023-05-04T06:42:00Z</cp:lastPrinted>
  <dcterms:created xsi:type="dcterms:W3CDTF">2023-08-04T07:29:00Z</dcterms:created>
  <dcterms:modified xsi:type="dcterms:W3CDTF">2023-09-26T18:53:00Z</dcterms:modified>
</cp:coreProperties>
</file>