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295264C4"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615EE9">
              <w:rPr>
                <w:rFonts w:cstheme="minorHAnsi"/>
                <w:b/>
              </w:rPr>
              <w:t xml:space="preserve"> DI KIT DI PROGRAMMAZIONE DA UTILIZZARE PER NUOVE ESERCITAZIONI DEL LABORATORIO DI ELETTRONICA</w:t>
            </w:r>
            <w:bookmarkStart w:id="1" w:name="_Hlk113989825"/>
            <w:bookmarkStart w:id="2" w:name="_Hlk88492261"/>
            <w:r w:rsidR="00615EE9">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28A08D76" w:rsidR="00921D99" w:rsidRPr="00615EE9" w:rsidRDefault="00921D99" w:rsidP="00921D99">
            <w:pPr>
              <w:spacing w:before="120" w:after="120" w:line="240" w:lineRule="auto"/>
              <w:jc w:val="center"/>
              <w:rPr>
                <w:rFonts w:cstheme="minorHAnsi"/>
                <w:b/>
              </w:rPr>
            </w:pPr>
            <w:r w:rsidRPr="00921D99">
              <w:rPr>
                <w:rFonts w:cstheme="minorHAnsi"/>
                <w:b/>
                <w:bCs/>
              </w:rPr>
              <w:t xml:space="preserve">C.I.G. </w:t>
            </w:r>
            <w:r w:rsidR="00615EE9" w:rsidRPr="00615EE9">
              <w:rPr>
                <w:rFonts w:cstheme="minorHAnsi"/>
                <w:b/>
              </w:rPr>
              <w:t>996990845A</w:t>
            </w:r>
          </w:p>
          <w:p w14:paraId="4453207A" w14:textId="1C00DB12" w:rsidR="00921D99" w:rsidRPr="00921D99" w:rsidRDefault="00921D99" w:rsidP="00921D99">
            <w:pPr>
              <w:spacing w:before="120" w:after="120" w:line="240" w:lineRule="auto"/>
              <w:jc w:val="center"/>
              <w:rPr>
                <w:rFonts w:cstheme="minorHAnsi"/>
                <w:b/>
              </w:rPr>
            </w:pPr>
            <w:r w:rsidRPr="00615EE9">
              <w:rPr>
                <w:rFonts w:cstheme="minorHAnsi"/>
                <w:b/>
              </w:rPr>
              <w:t xml:space="preserve">CUP: </w:t>
            </w:r>
            <w:r w:rsidR="00615EE9" w:rsidRPr="00615EE9">
              <w:rPr>
                <w:rFonts w:cstheme="minorHAnsi"/>
                <w:b/>
              </w:rPr>
              <w:t xml:space="preserve"> </w:t>
            </w:r>
            <w:r w:rsidR="00615EE9" w:rsidRPr="00615EE9">
              <w:rPr>
                <w:rFonts w:cstheme="minorHAnsi"/>
                <w:b/>
              </w:rPr>
              <w:t>G44D23000890006</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9B7DD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F673C4">
        <w:rPr>
          <w:rFonts w:cstheme="minorHAnsi"/>
          <w:bCs/>
          <w:lang w:bidi="it-IT"/>
        </w:rPr>
        <w:t xml:space="preserve"> di dispositivi digitali da utilizzare nei laboratori di fisica e chimica</w:t>
      </w:r>
      <w:bookmarkEnd w:id="3"/>
      <w:bookmarkEnd w:id="4"/>
    </w:p>
    <w:p w14:paraId="54E3A389" w14:textId="2B9680B9" w:rsidR="00921D99" w:rsidRPr="00615EE9" w:rsidRDefault="00921D99" w:rsidP="00615EE9">
      <w:pPr>
        <w:spacing w:before="120" w:after="120" w:line="240" w:lineRule="auto"/>
        <w:jc w:val="center"/>
        <w:rPr>
          <w:rFonts w:cstheme="minorHAnsi"/>
          <w:b/>
        </w:rPr>
      </w:pPr>
      <w:r w:rsidRPr="00921D99">
        <w:rPr>
          <w:rFonts w:cstheme="minorHAnsi"/>
          <w:b/>
          <w:lang w:bidi="it-IT"/>
        </w:rPr>
        <w:t>C</w:t>
      </w:r>
      <w:r w:rsidRPr="00921D99">
        <w:rPr>
          <w:rFonts w:cstheme="minorHAnsi"/>
          <w:b/>
        </w:rPr>
        <w:t>.I.G.</w:t>
      </w:r>
      <w:r w:rsidR="00F673C4">
        <w:rPr>
          <w:rFonts w:cstheme="minorHAnsi"/>
          <w:b/>
        </w:rPr>
        <w:t xml:space="preserve"> </w:t>
      </w:r>
      <w:r w:rsidR="00615EE9" w:rsidRPr="00615EE9">
        <w:rPr>
          <w:rFonts w:cstheme="minorHAnsi"/>
          <w:b/>
        </w:rPr>
        <w:t>996990845A</w:t>
      </w:r>
    </w:p>
    <w:p w14:paraId="3C05AD11" w14:textId="50679473" w:rsidR="00921D99" w:rsidRPr="00921D99" w:rsidRDefault="00921D99" w:rsidP="00615EE9">
      <w:pPr>
        <w:spacing w:before="120" w:after="120" w:line="240" w:lineRule="auto"/>
        <w:jc w:val="center"/>
        <w:rPr>
          <w:rFonts w:cstheme="minorHAnsi"/>
          <w:b/>
          <w:lang w:bidi="it-IT"/>
        </w:rPr>
      </w:pPr>
      <w:r w:rsidRPr="00921D99">
        <w:rPr>
          <w:rFonts w:cstheme="minorHAnsi"/>
          <w:b/>
        </w:rPr>
        <w:t>C.U.P.</w:t>
      </w:r>
      <w:r w:rsidR="00F673C4" w:rsidRPr="00615EE9">
        <w:rPr>
          <w:rFonts w:cstheme="minorHAnsi"/>
          <w:b/>
        </w:rPr>
        <w:t xml:space="preserve"> </w:t>
      </w:r>
      <w:r w:rsidR="00615EE9" w:rsidRPr="00615EE9">
        <w:rPr>
          <w:rFonts w:cstheme="minorHAnsi"/>
          <w:b/>
        </w:rPr>
        <w:t>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195F7783" w14:textId="6F272F08" w:rsidR="00921D99" w:rsidRPr="00921D99" w:rsidRDefault="00921D99" w:rsidP="00921D99">
      <w:pPr>
        <w:spacing w:before="120" w:after="120" w:line="276" w:lineRule="auto"/>
        <w:ind w:right="49"/>
        <w:jc w:val="both"/>
        <w:rPr>
          <w:rFonts w:cstheme="minorHAnsi"/>
        </w:rPr>
      </w:pPr>
      <w:r w:rsidRPr="00921D99">
        <w:rPr>
          <w:rFonts w:cstheme="minorHAnsi"/>
          <w:b/>
          <w:bCs/>
        </w:rPr>
        <w:t>L’ISTITUTO SCOLASTICO</w:t>
      </w:r>
      <w:r w:rsidR="00F673C4">
        <w:rPr>
          <w:rFonts w:cstheme="minorHAnsi"/>
          <w:b/>
          <w:bCs/>
        </w:rPr>
        <w:t xml:space="preserve"> “I.I.S. J.C. Maxwell”</w:t>
      </w:r>
      <w:r w:rsidRPr="00921D99">
        <w:rPr>
          <w:rFonts w:cstheme="minorHAnsi"/>
          <w:b/>
          <w:bCs/>
        </w:rPr>
        <w:t>,</w:t>
      </w:r>
      <w:r w:rsidRPr="00921D99">
        <w:rPr>
          <w:rFonts w:cstheme="minorHAnsi"/>
        </w:rPr>
        <w:t xml:space="preserve"> con sede in</w:t>
      </w:r>
      <w:r w:rsidR="00F673C4">
        <w:rPr>
          <w:rFonts w:cstheme="minorHAnsi"/>
        </w:rPr>
        <w:t xml:space="preserve"> Milano</w:t>
      </w:r>
      <w:r w:rsidRPr="00921D99">
        <w:rPr>
          <w:rFonts w:cstheme="minorHAnsi"/>
        </w:rPr>
        <w:t>, alla via</w:t>
      </w:r>
      <w:r w:rsidR="00F673C4">
        <w:rPr>
          <w:rFonts w:cstheme="minorHAnsi"/>
        </w:rPr>
        <w:t xml:space="preserve"> Don G. Calabria 2</w:t>
      </w:r>
      <w:r w:rsidRPr="00921D99">
        <w:rPr>
          <w:rFonts w:cstheme="minorHAnsi"/>
        </w:rPr>
        <w:t>, C.F. e P. IVA n.</w:t>
      </w:r>
      <w:r w:rsidR="00F673C4">
        <w:rPr>
          <w:rFonts w:cstheme="minorHAnsi"/>
        </w:rPr>
        <w:t xml:space="preserve"> </w:t>
      </w:r>
      <w:r w:rsidR="00F673C4" w:rsidRPr="00F673C4">
        <w:rPr>
          <w:rFonts w:cstheme="minorHAnsi"/>
        </w:rPr>
        <w:t>80124170152</w:t>
      </w:r>
      <w:r w:rsidRPr="00921D99">
        <w:rPr>
          <w:rFonts w:cstheme="minorHAnsi"/>
        </w:rPr>
        <w:t>, in persona del</w:t>
      </w:r>
      <w:r w:rsidR="00F673C4">
        <w:rPr>
          <w:rFonts w:cstheme="minorHAnsi"/>
        </w:rPr>
        <w:t xml:space="preserve"> prof. Franco Tornaghi</w:t>
      </w:r>
      <w:r w:rsidRPr="00921D99">
        <w:rPr>
          <w:rFonts w:cstheme="minorHAnsi"/>
        </w:rPr>
        <w:t>, nato a</w:t>
      </w:r>
      <w:r w:rsidR="00F673C4">
        <w:rPr>
          <w:rFonts w:cstheme="minorHAnsi"/>
        </w:rPr>
        <w:t xml:space="preserve"> Carugate</w:t>
      </w:r>
      <w:r w:rsidRPr="00921D99">
        <w:rPr>
          <w:rFonts w:cstheme="minorHAnsi"/>
        </w:rPr>
        <w:t>, in data</w:t>
      </w:r>
      <w:r w:rsidR="00F673C4">
        <w:rPr>
          <w:rFonts w:cstheme="minorHAnsi"/>
        </w:rPr>
        <w:t xml:space="preserve"> 23/01/1963</w:t>
      </w:r>
      <w:r w:rsidRPr="00921D99">
        <w:rPr>
          <w:rFonts w:cstheme="minorHAnsi"/>
        </w:rPr>
        <w:t>, Codice Fiscale n.</w:t>
      </w:r>
      <w:r w:rsidR="00F673C4">
        <w:rPr>
          <w:rFonts w:cstheme="minorHAnsi"/>
        </w:rPr>
        <w:t xml:space="preserve"> TRNFNC63A23B850C</w:t>
      </w:r>
      <w:r w:rsidRPr="00921D99">
        <w:rPr>
          <w:rFonts w:cstheme="minorHAnsi"/>
        </w:rPr>
        <w:t>, in qualità di</w:t>
      </w:r>
      <w:r w:rsidR="00F673C4">
        <w:rPr>
          <w:rFonts w:cstheme="minorHAnsi"/>
        </w:rPr>
        <w:t xml:space="preserve"> rappresentante legale</w:t>
      </w:r>
      <w:r w:rsidR="00EB544B">
        <w:rPr>
          <w:rFonts w:cstheme="minorHAnsi"/>
        </w:rPr>
        <w:t xml:space="preserve"> dell’Istituzione Scolastica, con la qualifica di Dirigente Scolastico</w:t>
      </w:r>
      <w:r w:rsidRPr="00921D99">
        <w:rPr>
          <w:rFonts w:cstheme="minorHAnsi"/>
        </w:rPr>
        <w:t>;</w:t>
      </w:r>
    </w:p>
    <w:p w14:paraId="7E789E00" w14:textId="77777777"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1FC6F02B"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 xml:space="preserve">Preventivo formulato da </w:t>
      </w:r>
      <w:proofErr w:type="spellStart"/>
      <w:r w:rsidR="00615EE9">
        <w:rPr>
          <w:rFonts w:eastAsia="Times New Roman" w:cstheme="minorHAnsi"/>
          <w:lang w:eastAsia="it-IT"/>
        </w:rPr>
        <w:t>Farnell</w:t>
      </w:r>
      <w:proofErr w:type="spellEnd"/>
      <w:r w:rsidR="00615EE9">
        <w:rPr>
          <w:rFonts w:eastAsia="Times New Roman" w:cstheme="minorHAnsi"/>
          <w:lang w:eastAsia="it-IT"/>
        </w:rPr>
        <w:t xml:space="preserve"> Italia </w:t>
      </w:r>
      <w:proofErr w:type="spellStart"/>
      <w:r w:rsidR="00615EE9">
        <w:rPr>
          <w:rFonts w:eastAsia="Times New Roman" w:cstheme="minorHAnsi"/>
          <w:lang w:eastAsia="it-IT"/>
        </w:rPr>
        <w:t>srl</w:t>
      </w:r>
      <w:proofErr w:type="spellEnd"/>
      <w:r w:rsidR="00615EE9">
        <w:rPr>
          <w:rFonts w:eastAsia="Times New Roman" w:cstheme="minorHAnsi"/>
          <w:lang w:eastAsia="it-IT"/>
        </w:rPr>
        <w:t xml:space="preserve"> </w:t>
      </w:r>
      <w:r w:rsidRPr="00921D99">
        <w:rPr>
          <w:rFonts w:eastAsia="Times New Roman" w:cstheme="minorHAnsi"/>
          <w:lang w:eastAsia="it-IT"/>
        </w:rPr>
        <w:t>del</w:t>
      </w:r>
      <w:r w:rsidR="00615EE9">
        <w:rPr>
          <w:rFonts w:eastAsia="Times New Roman" w:cstheme="minorHAnsi"/>
          <w:lang w:eastAsia="it-IT"/>
        </w:rPr>
        <w:t xml:space="preserve"> 03/08/2025</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2D427B0E"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07A63424"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2214824C"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615EE9">
        <w:rPr>
          <w:rFonts w:cstheme="minorHAnsi"/>
        </w:rPr>
        <w:t xml:space="preserve"> di kit di programmazione da utilizzare per nuove esercitazioni di elettronica</w:t>
      </w:r>
      <w:bookmarkEnd w:id="8"/>
      <w:r w:rsidR="00615EE9">
        <w:rPr>
          <w:rFonts w:cstheme="minorHAnsi"/>
        </w:rPr>
        <w:t xml:space="preserve"> </w:t>
      </w:r>
      <w:r w:rsidRPr="00921D99">
        <w:rPr>
          <w:rFonts w:cstheme="minorHAnsi"/>
          <w:bCs/>
          <w:lang w:bidi="it-IT"/>
        </w:rPr>
        <w:t>secondo il dettaglio dettato nel presente Contratto.</w:t>
      </w:r>
    </w:p>
    <w:p w14:paraId="21D9E578" w14:textId="79311175" w:rsidR="00615EE9" w:rsidRPr="00615EE9" w:rsidRDefault="00921D99" w:rsidP="00615EE9">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30A7B356" w:rsidR="00921D99" w:rsidRPr="00921D99" w:rsidRDefault="00615EE9" w:rsidP="00615EE9">
      <w:pPr>
        <w:numPr>
          <w:ilvl w:val="0"/>
          <w:numId w:val="38"/>
        </w:numPr>
        <w:spacing w:before="120" w:after="120" w:line="240" w:lineRule="auto"/>
        <w:ind w:left="851" w:hanging="425"/>
        <w:jc w:val="both"/>
        <w:rPr>
          <w:rFonts w:cstheme="minorHAnsi"/>
          <w:bCs/>
          <w:lang w:bidi="it-IT"/>
        </w:rPr>
      </w:pPr>
      <w:r>
        <w:rPr>
          <w:rFonts w:cstheme="minorHAnsi"/>
          <w:bCs/>
          <w:lang w:bidi="it-IT"/>
        </w:rPr>
        <w:t>N°15 scheda espansione, nucleo board STM32</w:t>
      </w:r>
      <w:r w:rsidR="00921D99" w:rsidRPr="00921D99">
        <w:rPr>
          <w:rFonts w:cstheme="minorHAnsi"/>
          <w:bCs/>
          <w:lang w:bidi="it-IT"/>
        </w:rPr>
        <w:t xml:space="preserve">; </w:t>
      </w:r>
    </w:p>
    <w:p w14:paraId="379DADC1"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w:t>
      </w:r>
      <w:proofErr w:type="spellStart"/>
      <w:r>
        <w:rPr>
          <w:rFonts w:cstheme="minorHAnsi"/>
          <w:bCs/>
          <w:lang w:bidi="it-IT"/>
        </w:rPr>
        <w:t>Raspberry</w:t>
      </w:r>
      <w:proofErr w:type="spellEnd"/>
      <w:r>
        <w:rPr>
          <w:rFonts w:cstheme="minorHAnsi"/>
          <w:bCs/>
          <w:lang w:bidi="it-IT"/>
        </w:rPr>
        <w:t xml:space="preserve"> PI 4 Model B, 4 GB</w:t>
      </w:r>
      <w:r w:rsidR="00921D99" w:rsidRPr="00921D99">
        <w:rPr>
          <w:rFonts w:cstheme="minorHAnsi"/>
          <w:bCs/>
          <w:lang w:bidi="it-IT"/>
        </w:rPr>
        <w:t>;</w:t>
      </w:r>
    </w:p>
    <w:p w14:paraId="55C1C586"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N°15 scheda espansione, STM32 nucleo</w:t>
      </w:r>
    </w:p>
    <w:p w14:paraId="7095ECEA"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N°15 scheda espansione, </w:t>
      </w:r>
      <w:proofErr w:type="spellStart"/>
      <w:r>
        <w:rPr>
          <w:rFonts w:cstheme="minorHAnsi"/>
          <w:bCs/>
          <w:lang w:bidi="it-IT"/>
        </w:rPr>
        <w:t>sens</w:t>
      </w:r>
      <w:proofErr w:type="spellEnd"/>
      <w:r>
        <w:rPr>
          <w:rFonts w:cstheme="minorHAnsi"/>
          <w:bCs/>
          <w:lang w:bidi="it-IT"/>
        </w:rPr>
        <w:t>. Time-of-</w:t>
      </w:r>
      <w:proofErr w:type="spellStart"/>
      <w:r>
        <w:rPr>
          <w:rFonts w:cstheme="minorHAnsi"/>
          <w:bCs/>
          <w:lang w:bidi="it-IT"/>
        </w:rPr>
        <w:t>flight</w:t>
      </w:r>
      <w:proofErr w:type="spellEnd"/>
    </w:p>
    <w:p w14:paraId="0F005481" w14:textId="77777777" w:rsidR="001F49D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N°15 scheda espansione </w:t>
      </w:r>
      <w:r w:rsidR="001F49D9">
        <w:rPr>
          <w:rFonts w:cstheme="minorHAnsi"/>
          <w:bCs/>
          <w:lang w:bidi="it-IT"/>
        </w:rPr>
        <w:t>BLE, scheda SVIL STM32 nucleo</w:t>
      </w:r>
    </w:p>
    <w:p w14:paraId="15405958" w14:textId="77777777" w:rsidR="001F49D9" w:rsidRDefault="001F49D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ventola, case </w:t>
      </w:r>
      <w:proofErr w:type="spellStart"/>
      <w:r>
        <w:rPr>
          <w:rFonts w:cstheme="minorHAnsi"/>
          <w:bCs/>
          <w:lang w:bidi="it-IT"/>
        </w:rPr>
        <w:t>raspberry</w:t>
      </w:r>
      <w:proofErr w:type="spellEnd"/>
      <w:r>
        <w:rPr>
          <w:rFonts w:cstheme="minorHAnsi"/>
          <w:bCs/>
          <w:lang w:bidi="it-IT"/>
        </w:rPr>
        <w:t xml:space="preserve"> Pi 4, 1.4 CFM</w:t>
      </w:r>
    </w:p>
    <w:p w14:paraId="08FE0BB3" w14:textId="4C7CF2BB" w:rsidR="00921D99" w:rsidRPr="001F49D9" w:rsidRDefault="001F49D9" w:rsidP="001F49D9">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schermo touch screen 10.1”, </w:t>
      </w:r>
      <w:proofErr w:type="spellStart"/>
      <w:r>
        <w:rPr>
          <w:rFonts w:cstheme="minorHAnsi"/>
          <w:bCs/>
          <w:lang w:bidi="it-IT"/>
        </w:rPr>
        <w:t>Raspberry</w:t>
      </w:r>
      <w:proofErr w:type="spellEnd"/>
      <w:r>
        <w:rPr>
          <w:rFonts w:cstheme="minorHAnsi"/>
          <w:bCs/>
          <w:lang w:bidi="it-IT"/>
        </w:rPr>
        <w:t xml:space="preserve"> Pi</w:t>
      </w:r>
      <w:r w:rsidR="00615EE9">
        <w:rPr>
          <w:rFonts w:cstheme="minorHAnsi"/>
          <w:bCs/>
          <w:lang w:bidi="it-IT"/>
        </w:rPr>
        <w:tab/>
      </w:r>
      <w:r w:rsidR="00921D99" w:rsidRPr="00921D99">
        <w:rPr>
          <w:rFonts w:cstheme="minorHAnsi"/>
          <w:bCs/>
          <w:lang w:bidi="it-IT"/>
        </w:rPr>
        <w:t xml:space="preserve"> </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4A9A74E0"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1F49D9">
        <w:rPr>
          <w:rFonts w:cstheme="minorHAnsi"/>
        </w:rPr>
        <w:t xml:space="preserve"> </w:t>
      </w:r>
      <w:r w:rsidRPr="00921D99">
        <w:rPr>
          <w:rFonts w:cstheme="minorHAnsi"/>
        </w:rPr>
        <w:t>ha durata fino al</w:t>
      </w:r>
      <w:r w:rsidR="001F49D9">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2A69BD56"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1F49D9">
        <w:rPr>
          <w:rFonts w:cstheme="minorHAnsi"/>
          <w:color w:val="000000"/>
        </w:rPr>
        <w:t xml:space="preserve"> </w:t>
      </w:r>
      <w:r w:rsidRPr="00921D99">
        <w:rPr>
          <w:rFonts w:cstheme="minorHAnsi"/>
          <w:color w:val="000000"/>
        </w:rPr>
        <w:t xml:space="preserve">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1F49D9">
        <w:rPr>
          <w:rFonts w:cstheme="minorHAnsi"/>
          <w:color w:val="000000"/>
        </w:rPr>
        <w:t xml:space="preserve"> 31/12/2023</w:t>
      </w:r>
      <w:r w:rsidRPr="00921D99">
        <w:rPr>
          <w:rFonts w:cstheme="minorHAnsi"/>
          <w:color w:val="000000"/>
        </w:rPr>
        <w:t>.</w:t>
      </w:r>
    </w:p>
    <w:p w14:paraId="4E1CF2B5" w14:textId="0B63227A" w:rsidR="00921D99" w:rsidRPr="00921D99" w:rsidRDefault="00921D99" w:rsidP="00BA236D">
      <w:pPr>
        <w:numPr>
          <w:ilvl w:val="0"/>
          <w:numId w:val="26"/>
        </w:numPr>
        <w:spacing w:before="120" w:after="120" w:line="240" w:lineRule="auto"/>
        <w:ind w:left="426" w:hanging="426"/>
        <w:jc w:val="both"/>
        <w:rPr>
          <w:rFonts w:cstheme="minorHAnsi"/>
        </w:rPr>
      </w:pPr>
      <w:bookmarkStart w:id="10" w:name="_Hlk139980206"/>
      <w:r w:rsidRPr="00921D99">
        <w:rPr>
          <w:rFonts w:cstheme="minorHAnsi"/>
        </w:rPr>
        <w:t xml:space="preserve">La Stazione Appaltante, in casi eccezionali nei quali risultino oggettivi ed insuperabili ritardi nella conclusione della procedura per l'individuazione di un nuovo contraente, si riserva, </w:t>
      </w:r>
      <w:r w:rsidRPr="00921D99">
        <w:rPr>
          <w:rFonts w:cstheme="minorHAnsi"/>
          <w:u w:val="single"/>
        </w:rPr>
        <w:t>in via del tutto eventuale e opzionale</w:t>
      </w:r>
      <w:r w:rsidRPr="00921D99">
        <w:rPr>
          <w:rFonts w:cstheme="minorHAnsi"/>
        </w:rPr>
        <w:t>, previa insindacabile valutazione interna, di prorogare la Fornitura</w:t>
      </w:r>
      <w:r w:rsidR="001F49D9">
        <w:rPr>
          <w:rFonts w:cstheme="minorHAnsi"/>
        </w:rPr>
        <w:t xml:space="preserve"> </w:t>
      </w:r>
      <w:r w:rsidRPr="00921D99">
        <w:rPr>
          <w:rFonts w:cstheme="minorHAnsi"/>
        </w:rPr>
        <w:t>alla scadenza del Contratto, per il tempo strettamente necessario alla conclusione della procedura, ai sensi dell’art. 120, comma 11, del Codice.</w:t>
      </w:r>
    </w:p>
    <w:bookmarkEnd w:id="10"/>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2B48D1A5"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lastRenderedPageBreak/>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082822E7"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i principi DNSH relativi all’Intervento/Misura, come previsti nella Scheda 3.</w:t>
      </w:r>
    </w:p>
    <w:p w14:paraId="664A53D2" w14:textId="15205A31"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1" w:name="_Hlk140180662"/>
      <w:r w:rsidRPr="00921D99">
        <w:rPr>
          <w:rFonts w:eastAsia="Times New Roman" w:cstheme="minorHAnsi"/>
          <w:lang w:eastAsia="it-IT"/>
        </w:rPr>
        <w:t>Fornitura</w:t>
      </w:r>
      <w:bookmarkEnd w:id="11"/>
      <w:r w:rsidR="001F49D9">
        <w:rPr>
          <w:rFonts w:eastAsia="Times New Roman" w:cstheme="minorHAnsi"/>
          <w:lang w:eastAsia="it-IT"/>
        </w:rPr>
        <w:t xml:space="preserve"> </w:t>
      </w:r>
      <w:r w:rsidRPr="00921D99">
        <w:rPr>
          <w:rFonts w:eastAsia="Times New Roman" w:cstheme="minorHAnsi"/>
          <w:lang w:eastAsia="it-IT"/>
        </w:rPr>
        <w:t>dovrà essere svolt</w:t>
      </w:r>
      <w:r w:rsidR="001F49D9">
        <w:rPr>
          <w:rFonts w:eastAsia="Times New Roman" w:cstheme="minorHAnsi"/>
          <w:lang w:eastAsia="it-IT"/>
        </w:rPr>
        <w:t>a</w:t>
      </w:r>
      <w:r w:rsidRPr="00921D99">
        <w:rPr>
          <w:rFonts w:eastAsia="Times New Roman" w:cstheme="minorHAnsi"/>
          <w:lang w:eastAsia="it-IT"/>
        </w:rPr>
        <w:t xml:space="preserve"> con le seguenti modalità:</w:t>
      </w:r>
      <w:r w:rsidR="001F49D9">
        <w:rPr>
          <w:rFonts w:eastAsia="Times New Roman" w:cstheme="minorHAnsi"/>
          <w:lang w:eastAsia="it-IT"/>
        </w:rPr>
        <w:t xml:space="preserve"> consegna presso la sede scolastica Via Don G. Calabria 2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557BC7C1"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w:t>
      </w:r>
      <w:proofErr w:type="gramStart"/>
      <w:r w:rsidRPr="00921D99">
        <w:rPr>
          <w:rFonts w:eastAsia="Times New Roman" w:cstheme="minorHAnsi"/>
          <w:lang w:eastAsia="it-IT"/>
        </w:rPr>
        <w:t>6</w:t>
      </w:r>
      <w:proofErr w:type="gramEnd"/>
      <w:r w:rsidRPr="00921D99">
        <w:rPr>
          <w:rFonts w:eastAsia="Times New Roman" w:cstheme="minorHAnsi"/>
          <w:lang w:eastAsia="it-IT"/>
        </w:rPr>
        <w:t xml:space="preserve">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w:t>
      </w:r>
      <w:r w:rsidRPr="00921D99">
        <w:rPr>
          <w:rFonts w:eastAsia="Times New Roman" w:cstheme="minorHAnsi"/>
          <w:lang w:eastAsia="it-IT"/>
        </w:rPr>
        <w:lastRenderedPageBreak/>
        <w:t xml:space="preserve">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25A28334"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1F49D9">
        <w:rPr>
          <w:rFonts w:eastAsia="Times New Roman" w:cstheme="minorHAnsi"/>
          <w:lang w:eastAsia="it-IT"/>
        </w:rPr>
        <w:t>Amministrazione Trasparente</w:t>
      </w:r>
      <w:r w:rsidRPr="00921D99">
        <w:rPr>
          <w:rFonts w:eastAsia="Times New Roman" w:cstheme="minorHAnsi"/>
          <w:lang w:eastAsia="it-IT"/>
        </w:rPr>
        <w:t>”, ai sensi dell’art. 29, comma 1, del d.lgs. n. 50/2016</w:t>
      </w:r>
      <w:r w:rsidR="001F49D9">
        <w:rPr>
          <w:rFonts w:eastAsia="Times New Roman" w:cstheme="minorHAnsi"/>
          <w:lang w:eastAsia="it-IT"/>
        </w:rPr>
        <w:t xml:space="preserve"> </w:t>
      </w:r>
      <w:r w:rsidRPr="00921D99">
        <w:rPr>
          <w:rFonts w:eastAsia="Times New Roman" w:cstheme="minorHAnsi"/>
          <w:lang w:eastAsia="it-IT"/>
        </w:rPr>
        <w:t>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75871608" w14:textId="77EEAEC4" w:rsidR="00921D99" w:rsidRPr="001F49D9" w:rsidRDefault="00921D99" w:rsidP="001F49D9">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1F49D9">
        <w:rPr>
          <w:rFonts w:eastAsia="Times New Roman" w:cstheme="minorHAnsi"/>
          <w:lang w:eastAsia="ar-SA"/>
        </w:rPr>
        <w:t>Nello specifico,</w:t>
      </w:r>
      <w:r w:rsidRPr="001F49D9">
        <w:rPr>
          <w:rFonts w:eastAsia="Times New Roman" w:cstheme="minorHAnsi"/>
          <w:i/>
          <w:iCs/>
          <w:lang w:eastAsia="ar-SA"/>
        </w:rPr>
        <w:t xml:space="preserve"> </w:t>
      </w:r>
      <w:r w:rsidRPr="001F49D9">
        <w:rPr>
          <w:rFonts w:eastAsia="Times New Roman" w:cstheme="minorHAnsi"/>
          <w:lang w:eastAsia="ar-SA"/>
        </w:rPr>
        <w:t xml:space="preserve">per l’azione relativa ai </w:t>
      </w:r>
      <w:r w:rsidRPr="001F49D9">
        <w:rPr>
          <w:rFonts w:eastAsia="Times New Roman" w:cstheme="minorHAnsi"/>
          <w:i/>
          <w:iCs/>
          <w:lang w:eastAsia="ar-SA"/>
        </w:rPr>
        <w:t>Next generation labs</w:t>
      </w:r>
      <w:r w:rsidRPr="001F49D9">
        <w:rPr>
          <w:rFonts w:eastAsia="Times New Roman" w:cstheme="minorHAnsi"/>
          <w:lang w:eastAsia="ar-SA"/>
        </w:rPr>
        <w:t>, è necessario che ciascuna scuola del secondo ciclo attivi e rendiconti almeno 1 laboratorio per le professioni digitali del futuro.</w:t>
      </w:r>
      <w:bookmarkEnd w:id="15"/>
      <w:r w:rsidRPr="001F49D9">
        <w:rPr>
          <w:rFonts w:eastAsia="Times New Roman" w:cstheme="minorHAnsi"/>
          <w:lang w:eastAsia="ar-SA"/>
        </w:rPr>
        <w:t xml:space="preserve"> </w:t>
      </w:r>
      <w:bookmarkStart w:id="16"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69D0A951"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1F49D9">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w:t>
      </w:r>
      <w:r w:rsidRPr="00921D99">
        <w:rPr>
          <w:rFonts w:eastAsia="Times New Roman" w:cstheme="minorHAnsi"/>
          <w:lang w:eastAsia="ar-SA"/>
        </w:rPr>
        <w:lastRenderedPageBreak/>
        <w:t xml:space="preserve">2020/852, ivi incluso l’impegno a consegnare alla Stazione Appaltante la documentazione a comprova del rispetto dei suddetti requisiti. Al riguardo, l’Affidatario si impegna a consegnare, a semplice richiesta dell’Amministrazione e senza ritardo, e comunque entro </w:t>
      </w:r>
      <w:proofErr w:type="gramStart"/>
      <w:r w:rsidRPr="00921D99">
        <w:rPr>
          <w:rFonts w:eastAsia="Times New Roman" w:cstheme="minorHAnsi"/>
          <w:lang w:eastAsia="ar-SA"/>
        </w:rPr>
        <w:t>10</w:t>
      </w:r>
      <w:proofErr w:type="gramEnd"/>
      <w:r w:rsidRPr="00921D99">
        <w:rPr>
          <w:rFonts w:eastAsia="Times New Roman" w:cstheme="minorHAnsi"/>
          <w:lang w:eastAsia="ar-SA"/>
        </w:rPr>
        <w:t xml:space="preserve">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7FE8ED2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1F49D9">
        <w:rPr>
          <w:rFonts w:eastAsia="Times New Roman" w:cstheme="minorHAnsi"/>
          <w:bCs/>
          <w:lang w:eastAsia="it-IT"/>
        </w:rPr>
        <w:t xml:space="preserve"> </w:t>
      </w:r>
      <w:r w:rsidRPr="00921D99">
        <w:rPr>
          <w:rFonts w:eastAsia="Times New Roman" w:cstheme="minorHAnsi"/>
          <w:bCs/>
          <w:lang w:eastAsia="it-IT"/>
        </w:rPr>
        <w:t>è complessivamente pari ad €</w:t>
      </w:r>
      <w:r w:rsidR="001F49D9">
        <w:rPr>
          <w:rFonts w:eastAsia="Times New Roman" w:cstheme="minorHAnsi"/>
          <w:bCs/>
          <w:lang w:eastAsia="it-IT"/>
        </w:rPr>
        <w:t xml:space="preserve"> 3291,74 </w:t>
      </w:r>
      <w:r w:rsidRPr="00921D99">
        <w:rPr>
          <w:rFonts w:eastAsia="Times New Roman" w:cstheme="minorHAnsi"/>
          <w:bCs/>
          <w:lang w:eastAsia="it-IT"/>
        </w:rPr>
        <w:t>(euro</w:t>
      </w:r>
      <w:r w:rsidR="001F49D9">
        <w:rPr>
          <w:rFonts w:eastAsia="Times New Roman" w:cstheme="minorHAnsi"/>
          <w:bCs/>
          <w:lang w:eastAsia="it-IT"/>
        </w:rPr>
        <w:t xml:space="preserve"> </w:t>
      </w:r>
      <w:proofErr w:type="spellStart"/>
      <w:r w:rsidR="001F49D9">
        <w:rPr>
          <w:rFonts w:eastAsia="Times New Roman" w:cstheme="minorHAnsi"/>
          <w:bCs/>
          <w:lang w:eastAsia="it-IT"/>
        </w:rPr>
        <w:t>tremiladuecentonovantuno</w:t>
      </w:r>
      <w:proofErr w:type="spellEnd"/>
      <w:r w:rsidR="001F49D9">
        <w:rPr>
          <w:rFonts w:eastAsia="Times New Roman" w:cstheme="minorHAnsi"/>
          <w:bCs/>
          <w:lang w:eastAsia="it-IT"/>
        </w:rPr>
        <w:t>/74),</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2A1B680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2C25715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1F49D9">
        <w:rPr>
          <w:rFonts w:eastAsia="Times New Roman" w:cstheme="minorHAnsi"/>
          <w:bCs/>
          <w:lang w:eastAsia="it-IT"/>
        </w:rPr>
        <w:t xml:space="preserve"> </w:t>
      </w:r>
      <w:r w:rsidRPr="00921D99">
        <w:rPr>
          <w:rFonts w:eastAsia="Times New Roman" w:cstheme="minorHAnsi"/>
          <w:lang w:eastAsia="it-IT"/>
        </w:rPr>
        <w:t xml:space="preserve">svolto come risultante dal Preventivo Economico formulato dall’Affidatario, sarà remunerato </w:t>
      </w:r>
      <w:r w:rsidR="001F49D9">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6DD9F0F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1F49D9">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55E7BC1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530616">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77A2EB2C"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1F49D9">
        <w:rPr>
          <w:rFonts w:eastAsia="Times New Roman" w:cstheme="minorHAnsi"/>
          <w:lang w:eastAsia="it-IT"/>
        </w:rPr>
        <w:t xml:space="preserve"> mera fornitura di attrezzature elettroniche.</w:t>
      </w:r>
    </w:p>
    <w:p w14:paraId="3EF63ACF" w14:textId="77777777" w:rsidR="00921D99" w:rsidRPr="001F49D9" w:rsidRDefault="00921D99" w:rsidP="00921D99">
      <w:pPr>
        <w:suppressAutoHyphens/>
        <w:spacing w:before="120" w:after="120" w:line="240" w:lineRule="auto"/>
        <w:ind w:left="360"/>
        <w:jc w:val="center"/>
        <w:rPr>
          <w:rFonts w:eastAsia="Times New Roman" w:cstheme="minorHAnsi"/>
          <w:b/>
          <w:i/>
          <w:iCs/>
          <w:lang w:eastAsia="it-IT"/>
        </w:rPr>
      </w:pPr>
      <w:r w:rsidRPr="001F49D9">
        <w:rPr>
          <w:rFonts w:eastAsia="Times New Roman" w:cstheme="minorHAnsi"/>
          <w:b/>
          <w:lang w:eastAsia="it-IT"/>
        </w:rPr>
        <w:t>Art. 6-</w:t>
      </w:r>
      <w:r w:rsidRPr="001F49D9">
        <w:rPr>
          <w:rFonts w:eastAsia="Times New Roman" w:cstheme="minorHAnsi"/>
          <w:b/>
          <w:i/>
          <w:iCs/>
          <w:lang w:eastAsia="it-IT"/>
        </w:rPr>
        <w:t>bis</w:t>
      </w:r>
    </w:p>
    <w:p w14:paraId="073ADD30" w14:textId="77777777" w:rsidR="00921D99" w:rsidRPr="001F49D9" w:rsidRDefault="00921D99" w:rsidP="00921D99">
      <w:pPr>
        <w:suppressAutoHyphens/>
        <w:spacing w:before="120" w:after="120" w:line="240" w:lineRule="auto"/>
        <w:ind w:left="360"/>
        <w:jc w:val="center"/>
        <w:rPr>
          <w:rFonts w:eastAsia="Times New Roman" w:cstheme="minorHAnsi"/>
          <w:b/>
          <w:lang w:eastAsia="it-IT"/>
        </w:rPr>
      </w:pPr>
      <w:r w:rsidRPr="001F49D9">
        <w:rPr>
          <w:rFonts w:eastAsia="Times New Roman" w:cstheme="minorHAnsi"/>
          <w:b/>
          <w:lang w:eastAsia="it-IT"/>
        </w:rPr>
        <w:t>(Consegna)</w:t>
      </w:r>
    </w:p>
    <w:p w14:paraId="78442093" w14:textId="1AC4C7A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1F49D9">
        <w:rPr>
          <w:rFonts w:eastAsia="Times New Roman" w:cstheme="minorHAnsi"/>
          <w:lang w:eastAsia="it-IT"/>
        </w:rPr>
        <w:t xml:space="preserve"> Via Don G. Calabria 2, Milano</w:t>
      </w:r>
      <w:r w:rsidRPr="00921D99">
        <w:rPr>
          <w:rFonts w:eastAsia="Times New Roman" w:cstheme="minorHAnsi"/>
          <w:lang w:eastAsia="it-IT"/>
        </w:rPr>
        <w:t>.</w:t>
      </w:r>
    </w:p>
    <w:p w14:paraId="68A292B3" w14:textId="7AD42413"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l’indicazione del luogo esatto di consegna dei Prodotti ordinati e il relativo referente;</w:t>
      </w:r>
    </w:p>
    <w:p w14:paraId="77D75D71" w14:textId="2B14AF3B" w:rsidR="00921D99" w:rsidRPr="00921D99" w:rsidRDefault="00921D99" w:rsidP="001F49D9">
      <w:pPr>
        <w:suppressAutoHyphens/>
        <w:spacing w:before="120" w:after="120" w:line="240" w:lineRule="auto"/>
        <w:ind w:left="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1F49D9">
        <w:rPr>
          <w:rFonts w:eastAsia="Times New Roman" w:cstheme="minorHAnsi"/>
          <w:lang w:eastAsia="it-IT"/>
        </w:rPr>
        <w:t xml:space="preserve"> 31/12/2023</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1F49D9" w:rsidRDefault="00921D99" w:rsidP="00921D99">
      <w:pPr>
        <w:suppressAutoHyphens/>
        <w:spacing w:before="120" w:after="120" w:line="240" w:lineRule="auto"/>
        <w:ind w:left="360"/>
        <w:jc w:val="center"/>
        <w:rPr>
          <w:rFonts w:eastAsia="Times New Roman" w:cstheme="minorHAnsi"/>
          <w:b/>
          <w:i/>
          <w:iCs/>
          <w:lang w:eastAsia="it-IT"/>
        </w:rPr>
      </w:pPr>
      <w:r w:rsidRPr="001F49D9">
        <w:rPr>
          <w:rFonts w:eastAsia="Times New Roman" w:cstheme="minorHAnsi"/>
          <w:b/>
          <w:lang w:eastAsia="it-IT"/>
        </w:rPr>
        <w:t>Art. 6-</w:t>
      </w:r>
      <w:r w:rsidRPr="001F49D9">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1F49D9">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Il ritiro dei prodotti non conformi dovrà avvenire entro 15 (quindici) giorni lavorativi dalla comunicazione di contestazione. È a carico dell’Affidatario ogni danno relativo al deterioramento dei prodotti non ritirati. I </w:t>
      </w:r>
      <w:r w:rsidRPr="00921D99">
        <w:rPr>
          <w:rFonts w:eastAsia="Times New Roman" w:cstheme="minorHAnsi"/>
          <w:lang w:eastAsia="it-IT"/>
        </w:rPr>
        <w:lastRenderedPageBreak/>
        <w:t>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 xml:space="preserve">dovrà adempiere secondo buona fede, diligenza e a regola d’arte a tutte le obbligazioni assunte con il presente Contratto, in base ai principi di cui al </w:t>
      </w:r>
      <w:proofErr w:type="gramStart"/>
      <w:r w:rsidRPr="00921D99">
        <w:rPr>
          <w:rFonts w:eastAsia="Times New Roman" w:cstheme="minorHAnsi"/>
          <w:lang w:eastAsia="it-IT"/>
        </w:rPr>
        <w:t>codice civile</w:t>
      </w:r>
      <w:proofErr w:type="gramEnd"/>
      <w:r w:rsidRPr="00921D99">
        <w:rPr>
          <w:rFonts w:eastAsia="Times New Roman" w:cstheme="minorHAnsi"/>
          <w:lang w:eastAsia="it-IT"/>
        </w:rPr>
        <w:t xml:space="preserv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assume la responsabilità per danni diretti e/o indiretti, patrimoniali e </w:t>
      </w:r>
      <w:proofErr w:type="gramStart"/>
      <w:r w:rsidRPr="00921D99">
        <w:rPr>
          <w:rFonts w:eastAsia="Times New Roman" w:cstheme="minorHAnsi"/>
          <w:lang w:eastAsia="it-IT"/>
        </w:rPr>
        <w:t>non</w:t>
      </w:r>
      <w:proofErr w:type="gramEnd"/>
      <w:r w:rsidRPr="00921D99">
        <w:rPr>
          <w:rFonts w:eastAsia="Times New Roman" w:cstheme="minorHAnsi"/>
          <w:lang w:eastAsia="it-IT"/>
        </w:rPr>
        <w:t>, subiti dall’Istituto e/o altri soggetti terzi pubblici o privati che trovino causa o occasione nelle prestazioni contrattuali, e/o nella mancata o ritardata esecuzione a regola d’arte delle stesse.</w:t>
      </w:r>
    </w:p>
    <w:p w14:paraId="26B0FEEE" w14:textId="1775F1E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226A0EF5"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519F246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lastRenderedPageBreak/>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1B04F1" w:rsidRDefault="00921D99" w:rsidP="00921D99">
      <w:pPr>
        <w:numPr>
          <w:ilvl w:val="0"/>
          <w:numId w:val="41"/>
        </w:numPr>
        <w:suppressAutoHyphens/>
        <w:spacing w:before="120" w:after="120" w:line="240" w:lineRule="auto"/>
        <w:ind w:left="426" w:hanging="426"/>
        <w:jc w:val="both"/>
        <w:rPr>
          <w:rFonts w:eastAsia="Calibri" w:cstheme="minorHAnsi"/>
          <w:bCs/>
          <w:lang w:eastAsia="it-IT"/>
        </w:rPr>
      </w:pPr>
      <w:r w:rsidRPr="001B04F1">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24EA40AD"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1B04F1">
        <w:rPr>
          <w:rFonts w:eastAsia="Times New Roman" w:cstheme="minorHAnsi"/>
          <w:color w:val="000000" w:themeColor="text1"/>
          <w:lang w:eastAsia="it-IT"/>
        </w:rPr>
        <w:t xml:space="preserve"> 658,35</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65CAD6A9"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1B04F1">
        <w:rPr>
          <w:rFonts w:cstheme="minorHAnsi"/>
        </w:rPr>
        <w:t xml:space="preserve"> 100</w:t>
      </w:r>
      <w:r w:rsidRPr="00921D99">
        <w:rPr>
          <w:rFonts w:cstheme="minorHAnsi"/>
        </w:rPr>
        <w:t xml:space="preserve"> per ogni giorno di ritardo nella consegna dei prodotti richiesti; </w:t>
      </w:r>
    </w:p>
    <w:p w14:paraId="10F40035" w14:textId="0EB2CFAC"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lastRenderedPageBreak/>
        <w:t>in caso di mancato invio della documentazione a comprova indicata all’art. 4, commi 5, 6 e 7 del presente Contratto, verrà applicata una penale pari</w:t>
      </w:r>
      <w:r w:rsidR="00530616">
        <w:rPr>
          <w:rFonts w:eastAsia="Verdana" w:cstheme="minorHAnsi"/>
        </w:rPr>
        <w:t xml:space="preserve"> 0,3 (0/3) per mille dell’importo netto del Contratto </w:t>
      </w:r>
      <w:r w:rsidRPr="00921D99">
        <w:rPr>
          <w:rFonts w:cstheme="minorHAnsi"/>
        </w:rPr>
        <w:t>per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67DE62FD"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95FFFE4" w14:textId="7F582755"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3-bis, del D.L. n. 77/2021, di consegnare all’Istituto, entro il termine di sei mesi dalla stipula, la certificazione e la relazione di cui al precedente art. 4, comma 7,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2E8C1BD" w14:textId="2FC3E5B8"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w:t>
      </w:r>
      <w:r w:rsidR="001B04F1">
        <w:rPr>
          <w:rFonts w:eastAsia="Times New Roman" w:cstheme="minorHAnsi"/>
          <w:lang w:eastAsia="it-IT"/>
        </w:rPr>
        <w:t xml:space="preserve"> 100 </w:t>
      </w:r>
      <w:r w:rsidRPr="00921D99">
        <w:rPr>
          <w:rFonts w:cstheme="minorHAnsi"/>
        </w:rPr>
        <w:t>(euro</w:t>
      </w:r>
      <w:r w:rsidR="001B04F1">
        <w:rPr>
          <w:rFonts w:cstheme="minorHAnsi"/>
        </w:rPr>
        <w:t xml:space="preserve"> 100</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1B04F1">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31B437D9"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1B04F1">
        <w:rPr>
          <w:rFonts w:cstheme="minorHAnsi"/>
        </w:rPr>
        <w:t xml:space="preserve"> 100 </w:t>
      </w:r>
      <w:r w:rsidRPr="00921D99">
        <w:rPr>
          <w:rFonts w:cstheme="minorHAnsi"/>
        </w:rPr>
        <w:t>(euro</w:t>
      </w:r>
      <w:r w:rsidR="001B04F1">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2072B8EB"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0E0D7B8E"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20EB2C7B"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1B04F1">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27F4360E"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1B04F1">
        <w:rPr>
          <w:rFonts w:eastAsia="Times New Roman" w:cstheme="minorHAnsi"/>
          <w:lang w:eastAsia="it-IT"/>
        </w:rPr>
        <w:t xml:space="preserve"> 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Il presente Contratto si risolverà immediatamente di diritto, nelle forme e secondo le modalità previste dall’art. 1456 c.c., nei seguenti casi </w:t>
      </w:r>
      <w:r w:rsidRPr="001B04F1">
        <w:rPr>
          <w:rFonts w:eastAsia="Times New Roman" w:cstheme="minorHAnsi"/>
          <w:i/>
          <w:iCs/>
          <w:lang w:eastAsia="it-IT"/>
        </w:rPr>
        <w:t>[da adattare alle specificità del singolo affidamento]</w:t>
      </w:r>
      <w:r w:rsidRPr="001B04F1">
        <w:rPr>
          <w:rFonts w:eastAsia="Times New Roman" w:cstheme="minorHAnsi"/>
          <w:lang w:eastAsia="it-IT"/>
        </w:rPr>
        <w:t>:</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39E3D189"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 xml:space="preserve">Fornitura </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p w14:paraId="1C926592" w14:textId="650FB36A"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1B04F1">
        <w:rPr>
          <w:rFonts w:cstheme="minorHAnsi"/>
        </w:rPr>
        <w:t>a 30</w:t>
      </w:r>
      <w:r w:rsidRPr="00921D99">
        <w:rPr>
          <w:rFonts w:cstheme="minorHAnsi"/>
        </w:rPr>
        <w:t xml:space="preserve"> (trenta) dallo svolgimento delle verifiche da parte della Stazione Appaltante.</w:t>
      </w:r>
      <w:bookmarkEnd w:id="25"/>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466C52B0"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37288DC0"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636E7335"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5F7A9AA"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1B04F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2336F5DB" w14:textId="249F399D"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530616">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21CA6215"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530616">
        <w:rPr>
          <w:rFonts w:eastAsia="Times New Roman" w:cstheme="minorHAnsi"/>
          <w:i/>
          <w:lang w:eastAsia="ar-SA"/>
        </w:rPr>
        <w:t xml:space="preserve"> dirigente@maxwell.mi.it</w:t>
      </w:r>
    </w:p>
    <w:p w14:paraId="4364F606" w14:textId="443E451B"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lastRenderedPageBreak/>
        <w:t>PEC</w:t>
      </w:r>
      <w:r w:rsidR="00530616">
        <w:rPr>
          <w:rFonts w:eastAsia="Times New Roman" w:cstheme="minorHAnsi"/>
          <w:lang w:eastAsia="ar-SA"/>
        </w:rPr>
        <w:t xml:space="preserve"> 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2EA3B246"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530616">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3BA2A8CC"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sidR="00C10451">
        <w:rPr>
          <w:rFonts w:eastAsia="Calibri" w:cstheme="minorHAnsi"/>
        </w:rPr>
        <w:t>, legalmente rappresentato nella figura del Dirigente Scolastico pro-tempore prof. Franco Tornaghi</w:t>
      </w:r>
      <w:r w:rsidRPr="00921D99">
        <w:rPr>
          <w:rFonts w:eastAsia="Calibri" w:cstheme="minorHAnsi"/>
        </w:rPr>
        <w:t xml:space="preserve">. </w:t>
      </w:r>
    </w:p>
    <w:p w14:paraId="60EDFB3D" w14:textId="5C30960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1B04F1">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6"/>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Per tutto quanto qui non espressamente previsto, si rimanda alle previsioni normative in tema di appalti pubblici, alle previsioni del </w:t>
      </w:r>
      <w:proofErr w:type="gramStart"/>
      <w:r w:rsidRPr="00921D99">
        <w:rPr>
          <w:rFonts w:eastAsia="Times New Roman" w:cstheme="minorHAnsi"/>
          <w:lang w:eastAsia="ar-SA"/>
        </w:rPr>
        <w:t>codice civile</w:t>
      </w:r>
      <w:proofErr w:type="gramEnd"/>
      <w:r w:rsidRPr="00921D99">
        <w:rPr>
          <w:rFonts w:eastAsia="Times New Roman" w:cstheme="minorHAnsi"/>
          <w:lang w:eastAsia="ar-SA"/>
        </w:rPr>
        <w:t xml:space="preserv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37162F44" w:rsidR="00921D99" w:rsidRPr="00921D99" w:rsidRDefault="00C10451" w:rsidP="00921D99">
      <w:pPr>
        <w:spacing w:before="120" w:after="120"/>
        <w:rPr>
          <w:rFonts w:cstheme="minorHAnsi"/>
        </w:rPr>
      </w:pPr>
      <w:r>
        <w:rPr>
          <w:rFonts w:cstheme="minorHAnsi"/>
        </w:rPr>
        <w:t>Milano</w:t>
      </w:r>
      <w:r w:rsidR="00921D99" w:rsidRPr="00921D99">
        <w:rPr>
          <w:rFonts w:cstheme="minorHAnsi"/>
        </w:rPr>
        <w:t>, lì</w:t>
      </w:r>
      <w:r w:rsidR="001B04F1">
        <w:rPr>
          <w:rFonts w:cstheme="minorHAnsi"/>
        </w:rPr>
        <w:t xml:space="preserve"> 11/09/2023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7CB10AC4" w14:textId="77777777" w:rsidR="001B04F1" w:rsidRPr="00921D99" w:rsidRDefault="001B04F1" w:rsidP="00921D99">
      <w:pPr>
        <w:tabs>
          <w:tab w:val="left" w:pos="6379"/>
        </w:tabs>
        <w:spacing w:before="120" w:after="120"/>
        <w:jc w:val="both"/>
        <w:rPr>
          <w:rFonts w:cstheme="minorHAnsi"/>
        </w:rPr>
      </w:pPr>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56E5C3F3" w14:textId="77777777" w:rsidR="00C10451" w:rsidRDefault="00C10451" w:rsidP="00921D99">
      <w:pPr>
        <w:tabs>
          <w:tab w:val="left" w:pos="6379"/>
        </w:tabs>
        <w:spacing w:before="120" w:after="120"/>
        <w:jc w:val="both"/>
        <w:rPr>
          <w:rFonts w:cstheme="minorHAnsi"/>
          <w:i/>
        </w:rPr>
      </w:pPr>
    </w:p>
    <w:p w14:paraId="23A008C1" w14:textId="77777777" w:rsidR="00C10451" w:rsidRPr="00921D99" w:rsidRDefault="00C10451" w:rsidP="00921D99">
      <w:pPr>
        <w:tabs>
          <w:tab w:val="left" w:pos="6379"/>
        </w:tabs>
        <w:spacing w:before="120" w:after="120"/>
        <w:jc w:val="both"/>
        <w:rPr>
          <w:rFonts w:cstheme="minorHAnsi"/>
          <w:i/>
        </w:rPr>
      </w:pPr>
    </w:p>
    <w:p w14:paraId="1FF0E674" w14:textId="15D2DBFE"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C10451">
        <w:rPr>
          <w:rFonts w:cstheme="minorHAnsi"/>
        </w:rPr>
        <w:t>Milano</w:t>
      </w:r>
      <w:r w:rsidRPr="00921D99">
        <w:rPr>
          <w:rFonts w:cstheme="minorHAnsi"/>
        </w:rPr>
        <w:t>, lì</w:t>
      </w:r>
      <w:r w:rsidR="001B04F1">
        <w:rPr>
          <w:rFonts w:cstheme="minorHAnsi"/>
        </w:rPr>
        <w:t xml:space="preserve"> 11/09/2023</w:t>
      </w:r>
      <w:r w:rsidRPr="00921D99">
        <w:rPr>
          <w:rFonts w:cstheme="minorHAnsi"/>
          <w:i/>
          <w:iCs/>
        </w:rPr>
        <w:tab/>
        <w:t xml:space="preserve">                                                                                                  </w:t>
      </w:r>
      <w:r w:rsidRPr="00921D99">
        <w:rPr>
          <w:rFonts w:cstheme="minorHAnsi"/>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A14"/>
    <w:multiLevelType w:val="hybridMultilevel"/>
    <w:tmpl w:val="A4968C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0"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1647663884">
    <w:abstractNumId w:val="10"/>
  </w:num>
  <w:num w:numId="2" w16cid:durableId="1047339978">
    <w:abstractNumId w:val="28"/>
  </w:num>
  <w:num w:numId="3" w16cid:durableId="554976893">
    <w:abstractNumId w:val="21"/>
  </w:num>
  <w:num w:numId="4" w16cid:durableId="633022414">
    <w:abstractNumId w:val="5"/>
  </w:num>
  <w:num w:numId="5" w16cid:durableId="493574375">
    <w:abstractNumId w:val="39"/>
  </w:num>
  <w:num w:numId="6" w16cid:durableId="594172873">
    <w:abstractNumId w:val="33"/>
  </w:num>
  <w:num w:numId="7" w16cid:durableId="810634657">
    <w:abstractNumId w:val="31"/>
  </w:num>
  <w:num w:numId="8" w16cid:durableId="273708410">
    <w:abstractNumId w:val="42"/>
  </w:num>
  <w:num w:numId="9" w16cid:durableId="340085588">
    <w:abstractNumId w:val="44"/>
  </w:num>
  <w:num w:numId="10" w16cid:durableId="1049494983">
    <w:abstractNumId w:val="43"/>
  </w:num>
  <w:num w:numId="11" w16cid:durableId="541331397">
    <w:abstractNumId w:val="4"/>
  </w:num>
  <w:num w:numId="12" w16cid:durableId="1007058506">
    <w:abstractNumId w:val="8"/>
  </w:num>
  <w:num w:numId="13" w16cid:durableId="124354347">
    <w:abstractNumId w:val="3"/>
  </w:num>
  <w:num w:numId="14" w16cid:durableId="1391926188">
    <w:abstractNumId w:val="37"/>
  </w:num>
  <w:num w:numId="15" w16cid:durableId="1039161390">
    <w:abstractNumId w:val="23"/>
  </w:num>
  <w:num w:numId="16" w16cid:durableId="880019827">
    <w:abstractNumId w:val="26"/>
  </w:num>
  <w:num w:numId="17" w16cid:durableId="43528447">
    <w:abstractNumId w:val="7"/>
  </w:num>
  <w:num w:numId="18" w16cid:durableId="1740321766">
    <w:abstractNumId w:val="2"/>
  </w:num>
  <w:num w:numId="19" w16cid:durableId="475730565">
    <w:abstractNumId w:val="14"/>
  </w:num>
  <w:num w:numId="20" w16cid:durableId="1835535745">
    <w:abstractNumId w:val="20"/>
  </w:num>
  <w:num w:numId="21" w16cid:durableId="2015449590">
    <w:abstractNumId w:val="36"/>
  </w:num>
  <w:num w:numId="22" w16cid:durableId="1393768158">
    <w:abstractNumId w:val="25"/>
  </w:num>
  <w:num w:numId="23" w16cid:durableId="1843815253">
    <w:abstractNumId w:val="9"/>
  </w:num>
  <w:num w:numId="24" w16cid:durableId="1091511949">
    <w:abstractNumId w:val="12"/>
  </w:num>
  <w:num w:numId="25" w16cid:durableId="1828939848">
    <w:abstractNumId w:val="41"/>
  </w:num>
  <w:num w:numId="26" w16cid:durableId="1091663404">
    <w:abstractNumId w:val="13"/>
  </w:num>
  <w:num w:numId="27" w16cid:durableId="1072046260">
    <w:abstractNumId w:val="30"/>
  </w:num>
  <w:num w:numId="28" w16cid:durableId="1507671746">
    <w:abstractNumId w:val="38"/>
  </w:num>
  <w:num w:numId="29" w16cid:durableId="1852599058">
    <w:abstractNumId w:val="40"/>
  </w:num>
  <w:num w:numId="30" w16cid:durableId="1383166183">
    <w:abstractNumId w:val="34"/>
  </w:num>
  <w:num w:numId="31" w16cid:durableId="180896964">
    <w:abstractNumId w:val="19"/>
  </w:num>
  <w:num w:numId="32" w16cid:durableId="817310590">
    <w:abstractNumId w:val="17"/>
  </w:num>
  <w:num w:numId="33" w16cid:durableId="2108891060">
    <w:abstractNumId w:val="22"/>
  </w:num>
  <w:num w:numId="34" w16cid:durableId="1539585716">
    <w:abstractNumId w:val="29"/>
  </w:num>
  <w:num w:numId="35" w16cid:durableId="1264143198">
    <w:abstractNumId w:val="24"/>
  </w:num>
  <w:num w:numId="36" w16cid:durableId="640043946">
    <w:abstractNumId w:val="35"/>
  </w:num>
  <w:num w:numId="37" w16cid:durableId="1655141704">
    <w:abstractNumId w:val="1"/>
  </w:num>
  <w:num w:numId="38" w16cid:durableId="1911772044">
    <w:abstractNumId w:val="18"/>
  </w:num>
  <w:num w:numId="39" w16cid:durableId="1541238331">
    <w:abstractNumId w:val="16"/>
  </w:num>
  <w:num w:numId="40" w16cid:durableId="1389574906">
    <w:abstractNumId w:val="45"/>
  </w:num>
  <w:num w:numId="41" w16cid:durableId="248347549">
    <w:abstractNumId w:val="15"/>
  </w:num>
  <w:num w:numId="42" w16cid:durableId="1519079459">
    <w:abstractNumId w:val="32"/>
  </w:num>
  <w:num w:numId="43" w16cid:durableId="112940200">
    <w:abstractNumId w:val="11"/>
  </w:num>
  <w:num w:numId="44" w16cid:durableId="221334729">
    <w:abstractNumId w:val="6"/>
  </w:num>
  <w:num w:numId="45" w16cid:durableId="1146045452">
    <w:abstractNumId w:val="27"/>
  </w:num>
  <w:num w:numId="46" w16cid:durableId="248774697">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1920"/>
    <w:rsid w:val="00046C9A"/>
    <w:rsid w:val="000518C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B04F1"/>
    <w:rsid w:val="001D2D10"/>
    <w:rsid w:val="001E49D4"/>
    <w:rsid w:val="001F2534"/>
    <w:rsid w:val="001F49D9"/>
    <w:rsid w:val="0020343A"/>
    <w:rsid w:val="00215C8F"/>
    <w:rsid w:val="00215C98"/>
    <w:rsid w:val="0022292A"/>
    <w:rsid w:val="00225347"/>
    <w:rsid w:val="002301FB"/>
    <w:rsid w:val="002462F7"/>
    <w:rsid w:val="00247D6F"/>
    <w:rsid w:val="00252DC7"/>
    <w:rsid w:val="0026555F"/>
    <w:rsid w:val="00276F83"/>
    <w:rsid w:val="002A42B0"/>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0616"/>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15EE9"/>
    <w:rsid w:val="006357BA"/>
    <w:rsid w:val="006450EC"/>
    <w:rsid w:val="00695E48"/>
    <w:rsid w:val="006A7C9B"/>
    <w:rsid w:val="006E262A"/>
    <w:rsid w:val="0070077B"/>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1045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B544B"/>
    <w:rsid w:val="00EC3757"/>
    <w:rsid w:val="00EC6384"/>
    <w:rsid w:val="00ED2BE5"/>
    <w:rsid w:val="00EE029E"/>
    <w:rsid w:val="00F01E0B"/>
    <w:rsid w:val="00F113F9"/>
    <w:rsid w:val="00F119EB"/>
    <w:rsid w:val="00F16E1E"/>
    <w:rsid w:val="00F17900"/>
    <w:rsid w:val="00F34BDF"/>
    <w:rsid w:val="00F35926"/>
    <w:rsid w:val="00F364A1"/>
    <w:rsid w:val="00F57253"/>
    <w:rsid w:val="00F673C4"/>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82BD-0614-46A1-BCBD-196762AB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7802</Words>
  <Characters>44473</Characters>
  <Application>Microsoft Office Word</Application>
  <DocSecurity>0</DocSecurity>
  <Lines>370</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6</cp:revision>
  <cp:lastPrinted>2023-09-11T17:27:00Z</cp:lastPrinted>
  <dcterms:created xsi:type="dcterms:W3CDTF">2023-09-10T18:15:00Z</dcterms:created>
  <dcterms:modified xsi:type="dcterms:W3CDTF">2023-09-11T17:28:00Z</dcterms:modified>
</cp:coreProperties>
</file>